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581A1" w14:textId="77777777" w:rsidR="00737012" w:rsidRPr="00D2471A" w:rsidRDefault="00737012" w:rsidP="0070431B">
      <w:pPr>
        <w:widowControl w:val="0"/>
        <w:pBdr>
          <w:top w:val="nil"/>
          <w:left w:val="nil"/>
          <w:bottom w:val="nil"/>
          <w:right w:val="nil"/>
          <w:between w:val="nil"/>
        </w:pBdr>
        <w:spacing w:after="0"/>
        <w:rPr>
          <w:rFonts w:ascii="Times New Arabic" w:eastAsia="Arial" w:hAnsi="Times New Arabic"/>
          <w:color w:val="000000" w:themeColor="text1"/>
          <w:sz w:val="24"/>
          <w:szCs w:val="24"/>
        </w:rPr>
      </w:pPr>
      <w:bookmarkStart w:id="0" w:name="_Hlk207228852"/>
    </w:p>
    <w:tbl>
      <w:tblPr>
        <w:tblStyle w:val="KisiTabel"/>
        <w:tblW w:w="0" w:type="auto"/>
        <w:jc w:val="center"/>
        <w:tblLook w:val="04A0" w:firstRow="1" w:lastRow="0" w:firstColumn="1" w:lastColumn="0" w:noHBand="0" w:noVBand="1"/>
      </w:tblPr>
      <w:tblGrid>
        <w:gridCol w:w="2459"/>
        <w:gridCol w:w="2567"/>
        <w:gridCol w:w="2629"/>
      </w:tblGrid>
      <w:tr w:rsidR="00C23812" w:rsidRPr="00D2471A" w14:paraId="71FC1C95" w14:textId="77777777" w:rsidTr="00003B42">
        <w:trPr>
          <w:jc w:val="center"/>
        </w:trPr>
        <w:tc>
          <w:tcPr>
            <w:tcW w:w="2459" w:type="dxa"/>
          </w:tcPr>
          <w:p w14:paraId="2696BD07" w14:textId="77777777" w:rsidR="00003B42" w:rsidRPr="00D2471A" w:rsidRDefault="00003B42" w:rsidP="008D7168">
            <w:pPr>
              <w:jc w:val="center"/>
              <w:rPr>
                <w:rFonts w:ascii="Times New Arabic" w:hAnsi="Times New Arabic" w:cstheme="majorBidi"/>
                <w:b/>
                <w:bCs/>
                <w:color w:val="000000" w:themeColor="text1"/>
                <w:sz w:val="24"/>
                <w:szCs w:val="24"/>
              </w:rPr>
            </w:pPr>
            <w:proofErr w:type="spellStart"/>
            <w:r w:rsidRPr="00D2471A">
              <w:rPr>
                <w:rFonts w:ascii="Times New Arabic" w:hAnsi="Times New Arabic" w:cstheme="majorBidi"/>
                <w:b/>
                <w:bCs/>
                <w:color w:val="000000" w:themeColor="text1"/>
                <w:sz w:val="24"/>
                <w:szCs w:val="24"/>
              </w:rPr>
              <w:t>Revised</w:t>
            </w:r>
            <w:proofErr w:type="spellEnd"/>
            <w:r w:rsidRPr="00D2471A">
              <w:rPr>
                <w:rFonts w:ascii="Times New Arabic" w:hAnsi="Times New Arabic" w:cstheme="majorBidi"/>
                <w:b/>
                <w:bCs/>
                <w:color w:val="000000" w:themeColor="text1"/>
                <w:sz w:val="24"/>
                <w:szCs w:val="24"/>
              </w:rPr>
              <w:t>:</w:t>
            </w:r>
          </w:p>
          <w:p w14:paraId="5969B370" w14:textId="26EF60F7" w:rsidR="00CA7ADF" w:rsidRPr="00D2471A" w:rsidRDefault="00530015" w:rsidP="008D7168">
            <w:pPr>
              <w:jc w:val="center"/>
              <w:rPr>
                <w:rFonts w:ascii="Times New Arabic" w:hAnsi="Times New Arabic" w:cstheme="majorBidi"/>
                <w:bCs/>
                <w:color w:val="000000" w:themeColor="text1"/>
                <w:sz w:val="24"/>
                <w:szCs w:val="24"/>
              </w:rPr>
            </w:pPr>
            <w:r w:rsidRPr="00D2471A">
              <w:rPr>
                <w:rFonts w:ascii="Times New Arabic" w:hAnsi="Times New Arabic" w:cstheme="majorBidi"/>
                <w:bCs/>
                <w:color w:val="000000" w:themeColor="text1"/>
                <w:sz w:val="24"/>
                <w:szCs w:val="24"/>
              </w:rPr>
              <w:t xml:space="preserve">Juli </w:t>
            </w:r>
            <w:r w:rsidR="00003B42" w:rsidRPr="00D2471A">
              <w:rPr>
                <w:rFonts w:ascii="Times New Arabic" w:hAnsi="Times New Arabic" w:cstheme="majorBidi"/>
                <w:bCs/>
                <w:color w:val="000000" w:themeColor="text1"/>
                <w:sz w:val="24"/>
                <w:szCs w:val="24"/>
              </w:rPr>
              <w:t>2025</w:t>
            </w:r>
          </w:p>
        </w:tc>
        <w:tc>
          <w:tcPr>
            <w:tcW w:w="2567" w:type="dxa"/>
          </w:tcPr>
          <w:p w14:paraId="152FF6CE" w14:textId="77777777" w:rsidR="00003B42" w:rsidRPr="00D2471A" w:rsidRDefault="00003B42" w:rsidP="008D7168">
            <w:pPr>
              <w:jc w:val="center"/>
              <w:rPr>
                <w:rFonts w:ascii="Times New Arabic" w:hAnsi="Times New Arabic" w:cstheme="majorBidi"/>
                <w:b/>
                <w:bCs/>
                <w:color w:val="000000" w:themeColor="text1"/>
                <w:sz w:val="24"/>
                <w:szCs w:val="24"/>
              </w:rPr>
            </w:pPr>
            <w:proofErr w:type="spellStart"/>
            <w:r w:rsidRPr="00D2471A">
              <w:rPr>
                <w:rFonts w:ascii="Times New Arabic" w:hAnsi="Times New Arabic" w:cstheme="majorBidi"/>
                <w:b/>
                <w:bCs/>
                <w:color w:val="000000" w:themeColor="text1"/>
                <w:sz w:val="24"/>
                <w:szCs w:val="24"/>
              </w:rPr>
              <w:t>Accepted</w:t>
            </w:r>
            <w:proofErr w:type="spellEnd"/>
            <w:r w:rsidRPr="00D2471A">
              <w:rPr>
                <w:rFonts w:ascii="Times New Arabic" w:hAnsi="Times New Arabic" w:cstheme="majorBidi"/>
                <w:b/>
                <w:bCs/>
                <w:color w:val="000000" w:themeColor="text1"/>
                <w:sz w:val="24"/>
                <w:szCs w:val="24"/>
              </w:rPr>
              <w:t>:</w:t>
            </w:r>
          </w:p>
          <w:p w14:paraId="28F804F8" w14:textId="0AE60CB3" w:rsidR="00CA7ADF" w:rsidRPr="00D2471A" w:rsidRDefault="00003B42" w:rsidP="008D7168">
            <w:pPr>
              <w:jc w:val="center"/>
              <w:rPr>
                <w:rFonts w:ascii="Times New Arabic" w:hAnsi="Times New Arabic" w:cstheme="majorBidi"/>
                <w:bCs/>
                <w:color w:val="000000" w:themeColor="text1"/>
                <w:sz w:val="24"/>
                <w:szCs w:val="24"/>
              </w:rPr>
            </w:pPr>
            <w:r w:rsidRPr="00D2471A">
              <w:rPr>
                <w:rFonts w:ascii="Times New Arabic" w:hAnsi="Times New Arabic" w:cstheme="majorBidi"/>
                <w:bCs/>
                <w:color w:val="000000" w:themeColor="text1"/>
                <w:sz w:val="24"/>
                <w:szCs w:val="24"/>
              </w:rPr>
              <w:t xml:space="preserve"> </w:t>
            </w:r>
            <w:r w:rsidR="00530015" w:rsidRPr="00D2471A">
              <w:rPr>
                <w:rFonts w:ascii="Times New Arabic" w:hAnsi="Times New Arabic" w:cstheme="majorBidi"/>
                <w:bCs/>
                <w:color w:val="000000" w:themeColor="text1"/>
                <w:sz w:val="24"/>
                <w:szCs w:val="24"/>
              </w:rPr>
              <w:t xml:space="preserve">Agustus </w:t>
            </w:r>
            <w:r w:rsidRPr="00D2471A">
              <w:rPr>
                <w:rFonts w:ascii="Times New Arabic" w:hAnsi="Times New Arabic" w:cstheme="majorBidi"/>
                <w:bCs/>
                <w:color w:val="000000" w:themeColor="text1"/>
                <w:sz w:val="24"/>
                <w:szCs w:val="24"/>
              </w:rPr>
              <w:t>2025</w:t>
            </w:r>
          </w:p>
        </w:tc>
        <w:tc>
          <w:tcPr>
            <w:tcW w:w="2629" w:type="dxa"/>
            <w:tcBorders>
              <w:top w:val="single" w:sz="2" w:space="0" w:color="000000"/>
              <w:bottom w:val="single" w:sz="4" w:space="0" w:color="000000"/>
            </w:tcBorders>
          </w:tcPr>
          <w:p w14:paraId="4DE3710A" w14:textId="77777777" w:rsidR="00CA7ADF" w:rsidRPr="00D2471A" w:rsidRDefault="00CA7ADF" w:rsidP="008D7168">
            <w:pPr>
              <w:jc w:val="center"/>
              <w:rPr>
                <w:rFonts w:ascii="Times New Arabic" w:hAnsi="Times New Arabic" w:cstheme="majorBidi"/>
                <w:bCs/>
                <w:color w:val="000000" w:themeColor="text1"/>
                <w:sz w:val="24"/>
                <w:szCs w:val="24"/>
              </w:rPr>
            </w:pPr>
            <w:proofErr w:type="spellStart"/>
            <w:r w:rsidRPr="00D2471A">
              <w:rPr>
                <w:rFonts w:ascii="Times New Arabic" w:hAnsi="Times New Arabic" w:cstheme="majorBidi"/>
                <w:b/>
                <w:bCs/>
                <w:color w:val="000000" w:themeColor="text1"/>
                <w:sz w:val="24"/>
                <w:szCs w:val="24"/>
              </w:rPr>
              <w:t>Published</w:t>
            </w:r>
            <w:proofErr w:type="spellEnd"/>
            <w:r w:rsidRPr="00D2471A">
              <w:rPr>
                <w:rFonts w:ascii="Times New Arabic" w:hAnsi="Times New Arabic" w:cstheme="majorBidi"/>
                <w:bCs/>
                <w:color w:val="000000" w:themeColor="text1"/>
                <w:sz w:val="24"/>
                <w:szCs w:val="24"/>
              </w:rPr>
              <w:t>:</w:t>
            </w:r>
          </w:p>
          <w:p w14:paraId="29746965" w14:textId="69222F0C" w:rsidR="00CA7ADF" w:rsidRPr="00D2471A" w:rsidRDefault="00003B42" w:rsidP="008D7168">
            <w:pPr>
              <w:jc w:val="center"/>
              <w:rPr>
                <w:rFonts w:ascii="Times New Arabic" w:hAnsi="Times New Arabic" w:cstheme="majorBidi"/>
                <w:bCs/>
                <w:color w:val="000000" w:themeColor="text1"/>
                <w:sz w:val="24"/>
                <w:szCs w:val="24"/>
              </w:rPr>
            </w:pPr>
            <w:r w:rsidRPr="00D2471A">
              <w:rPr>
                <w:rFonts w:ascii="Times New Arabic" w:hAnsi="Times New Arabic" w:cstheme="majorBidi"/>
                <w:bCs/>
                <w:color w:val="000000" w:themeColor="text1"/>
                <w:sz w:val="24"/>
                <w:szCs w:val="24"/>
              </w:rPr>
              <w:t xml:space="preserve">Agustus </w:t>
            </w:r>
            <w:r w:rsidR="00F35661" w:rsidRPr="00D2471A">
              <w:rPr>
                <w:rFonts w:ascii="Times New Arabic" w:hAnsi="Times New Arabic" w:cstheme="majorBidi"/>
                <w:bCs/>
                <w:color w:val="000000" w:themeColor="text1"/>
                <w:sz w:val="24"/>
                <w:szCs w:val="24"/>
              </w:rPr>
              <w:t>2025</w:t>
            </w:r>
          </w:p>
        </w:tc>
      </w:tr>
      <w:bookmarkEnd w:id="0"/>
    </w:tbl>
    <w:p w14:paraId="06A3886B" w14:textId="77777777" w:rsidR="0070431B" w:rsidRPr="00D2471A" w:rsidRDefault="0070431B" w:rsidP="00BB1FEA">
      <w:pPr>
        <w:pBdr>
          <w:top w:val="nil"/>
          <w:left w:val="nil"/>
          <w:bottom w:val="nil"/>
          <w:right w:val="nil"/>
          <w:between w:val="nil"/>
        </w:pBdr>
        <w:spacing w:after="0"/>
        <w:jc w:val="center"/>
        <w:rPr>
          <w:rFonts w:ascii="Times New Arabic" w:eastAsia="Times" w:hAnsi="Times New Arabic" w:cs="Times"/>
          <w:b/>
          <w:sz w:val="24"/>
          <w:szCs w:val="24"/>
          <w:lang w:eastAsia="en-US"/>
        </w:rPr>
      </w:pPr>
    </w:p>
    <w:p w14:paraId="5A20AF32" w14:textId="4398ABFC" w:rsidR="00D162FC" w:rsidRPr="00D162FC" w:rsidRDefault="00D162FC" w:rsidP="00D162FC">
      <w:pPr>
        <w:spacing w:after="160" w:line="259" w:lineRule="auto"/>
        <w:jc w:val="center"/>
        <w:rPr>
          <w:rFonts w:ascii="Times New Roman" w:hAnsi="Times New Roman" w:cs="Times New Roman"/>
          <w:b/>
          <w:bCs/>
          <w:kern w:val="2"/>
          <w:sz w:val="28"/>
          <w:szCs w:val="28"/>
          <w:lang w:val="sv-SE" w:eastAsia="en-US"/>
          <w14:ligatures w14:val="standardContextual"/>
        </w:rPr>
      </w:pPr>
      <w:proofErr w:type="spellStart"/>
      <w:r w:rsidRPr="00FA3885">
        <w:rPr>
          <w:rFonts w:ascii="Times New Roman" w:hAnsi="Times New Roman" w:cs="Times New Roman"/>
          <w:b/>
          <w:bCs/>
          <w:kern w:val="2"/>
          <w:sz w:val="28"/>
          <w:szCs w:val="28"/>
          <w:lang w:val="sv-SE" w:eastAsia="en-US"/>
          <w14:ligatures w14:val="standardContextual"/>
        </w:rPr>
        <w:t>Analisis</w:t>
      </w:r>
      <w:proofErr w:type="spellEnd"/>
      <w:r w:rsidRPr="00FA3885">
        <w:rPr>
          <w:rFonts w:ascii="Times New Roman" w:hAnsi="Times New Roman" w:cs="Times New Roman"/>
          <w:b/>
          <w:bCs/>
          <w:kern w:val="2"/>
          <w:sz w:val="28"/>
          <w:szCs w:val="28"/>
          <w:lang w:val="sv-SE" w:eastAsia="en-US"/>
          <w14:ligatures w14:val="standardContextual"/>
        </w:rPr>
        <w:t xml:space="preserve"> </w:t>
      </w:r>
      <w:proofErr w:type="spellStart"/>
      <w:r w:rsidRPr="00FA3885">
        <w:rPr>
          <w:rFonts w:ascii="Times New Roman" w:hAnsi="Times New Roman" w:cs="Times New Roman"/>
          <w:b/>
          <w:bCs/>
          <w:kern w:val="2"/>
          <w:sz w:val="28"/>
          <w:szCs w:val="28"/>
          <w:lang w:val="sv-SE" w:eastAsia="en-US"/>
          <w14:ligatures w14:val="standardContextual"/>
        </w:rPr>
        <w:t>Hadis</w:t>
      </w:r>
      <w:proofErr w:type="spellEnd"/>
      <w:r w:rsidRPr="00FA3885">
        <w:rPr>
          <w:rFonts w:ascii="Times New Roman" w:hAnsi="Times New Roman" w:cs="Times New Roman"/>
          <w:b/>
          <w:bCs/>
          <w:kern w:val="2"/>
          <w:sz w:val="28"/>
          <w:szCs w:val="28"/>
          <w:lang w:val="sv-SE" w:eastAsia="en-US"/>
          <w14:ligatures w14:val="standardContextual"/>
        </w:rPr>
        <w:t xml:space="preserve"> </w:t>
      </w:r>
      <w:proofErr w:type="spellStart"/>
      <w:r w:rsidRPr="00FA3885">
        <w:rPr>
          <w:rFonts w:ascii="Times New Roman" w:hAnsi="Times New Roman" w:cs="Times New Roman"/>
          <w:b/>
          <w:bCs/>
          <w:kern w:val="2"/>
          <w:sz w:val="28"/>
          <w:szCs w:val="28"/>
          <w:lang w:val="sv-SE" w:eastAsia="en-US"/>
          <w14:ligatures w14:val="standardContextual"/>
        </w:rPr>
        <w:t>Tasyabbuh</w:t>
      </w:r>
      <w:proofErr w:type="spellEnd"/>
      <w:r w:rsidRPr="00FA3885">
        <w:rPr>
          <w:rFonts w:ascii="Times New Roman" w:hAnsi="Times New Roman" w:cs="Times New Roman"/>
          <w:b/>
          <w:bCs/>
          <w:kern w:val="2"/>
          <w:sz w:val="28"/>
          <w:szCs w:val="28"/>
          <w:lang w:val="sv-SE" w:eastAsia="en-US"/>
          <w14:ligatures w14:val="standardContextual"/>
        </w:rPr>
        <w:t xml:space="preserve">:  </w:t>
      </w:r>
      <w:proofErr w:type="spellStart"/>
      <w:r w:rsidRPr="00FA3885">
        <w:rPr>
          <w:rFonts w:ascii="Times New Roman" w:hAnsi="Times New Roman" w:cs="Times New Roman"/>
          <w:b/>
          <w:bCs/>
          <w:kern w:val="2"/>
          <w:sz w:val="28"/>
          <w:szCs w:val="28"/>
          <w:lang w:val="sv-SE" w:eastAsia="en-US"/>
          <w14:ligatures w14:val="standardContextual"/>
        </w:rPr>
        <w:t>Kehadiran</w:t>
      </w:r>
      <w:proofErr w:type="spellEnd"/>
      <w:r w:rsidRPr="00FA3885">
        <w:rPr>
          <w:rFonts w:ascii="Times New Roman" w:hAnsi="Times New Roman" w:cs="Times New Roman"/>
          <w:b/>
          <w:bCs/>
          <w:kern w:val="2"/>
          <w:sz w:val="28"/>
          <w:szCs w:val="28"/>
          <w:lang w:val="sv-SE" w:eastAsia="en-US"/>
          <w14:ligatures w14:val="standardContextual"/>
        </w:rPr>
        <w:t xml:space="preserve"> </w:t>
      </w:r>
      <w:proofErr w:type="spellStart"/>
      <w:r w:rsidRPr="00FA3885">
        <w:rPr>
          <w:rFonts w:ascii="Times New Roman" w:hAnsi="Times New Roman" w:cs="Times New Roman"/>
          <w:b/>
          <w:bCs/>
          <w:kern w:val="2"/>
          <w:sz w:val="28"/>
          <w:szCs w:val="28"/>
          <w:lang w:val="sv-SE" w:eastAsia="en-US"/>
          <w14:ligatures w14:val="standardContextual"/>
        </w:rPr>
        <w:t>Tokoh</w:t>
      </w:r>
      <w:proofErr w:type="spellEnd"/>
      <w:r w:rsidRPr="00FA3885">
        <w:rPr>
          <w:rFonts w:ascii="Times New Roman" w:hAnsi="Times New Roman" w:cs="Times New Roman"/>
          <w:b/>
          <w:bCs/>
          <w:kern w:val="2"/>
          <w:sz w:val="28"/>
          <w:szCs w:val="28"/>
          <w:lang w:val="sv-SE" w:eastAsia="en-US"/>
          <w14:ligatures w14:val="standardContextual"/>
        </w:rPr>
        <w:t xml:space="preserve"> Islam Di </w:t>
      </w:r>
      <w:proofErr w:type="spellStart"/>
      <w:r w:rsidRPr="00FA3885">
        <w:rPr>
          <w:rFonts w:ascii="Times New Roman" w:hAnsi="Times New Roman" w:cs="Times New Roman"/>
          <w:b/>
          <w:bCs/>
          <w:kern w:val="2"/>
          <w:sz w:val="28"/>
          <w:szCs w:val="28"/>
          <w:lang w:val="sv-SE" w:eastAsia="en-US"/>
          <w14:ligatures w14:val="standardContextual"/>
        </w:rPr>
        <w:t>Perayaan</w:t>
      </w:r>
      <w:proofErr w:type="spellEnd"/>
      <w:r w:rsidRPr="00FA3885">
        <w:rPr>
          <w:rFonts w:ascii="Times New Roman" w:hAnsi="Times New Roman" w:cs="Times New Roman"/>
          <w:b/>
          <w:bCs/>
          <w:kern w:val="2"/>
          <w:sz w:val="28"/>
          <w:szCs w:val="28"/>
          <w:lang w:val="sv-SE" w:eastAsia="en-US"/>
          <w14:ligatures w14:val="standardContextual"/>
        </w:rPr>
        <w:t xml:space="preserve"> Bakar </w:t>
      </w:r>
      <w:proofErr w:type="spellStart"/>
      <w:r w:rsidRPr="00FA3885">
        <w:rPr>
          <w:rFonts w:ascii="Times New Roman" w:hAnsi="Times New Roman" w:cs="Times New Roman"/>
          <w:b/>
          <w:bCs/>
          <w:kern w:val="2"/>
          <w:sz w:val="28"/>
          <w:szCs w:val="28"/>
          <w:lang w:val="sv-SE" w:eastAsia="en-US"/>
          <w14:ligatures w14:val="standardContextual"/>
        </w:rPr>
        <w:t>Tongkang</w:t>
      </w:r>
      <w:proofErr w:type="spellEnd"/>
      <w:r w:rsidRPr="00FA3885">
        <w:rPr>
          <w:rFonts w:ascii="Times New Roman" w:hAnsi="Times New Roman" w:cs="Times New Roman"/>
          <w:b/>
          <w:bCs/>
          <w:kern w:val="2"/>
          <w:sz w:val="28"/>
          <w:szCs w:val="28"/>
          <w:lang w:val="sv-SE" w:eastAsia="en-US"/>
          <w14:ligatures w14:val="standardContextual"/>
        </w:rPr>
        <w:t xml:space="preserve"> </w:t>
      </w:r>
      <w:proofErr w:type="spellStart"/>
      <w:r w:rsidRPr="00FA3885">
        <w:rPr>
          <w:rFonts w:ascii="Times New Roman" w:hAnsi="Times New Roman" w:cs="Times New Roman"/>
          <w:b/>
          <w:bCs/>
          <w:kern w:val="2"/>
          <w:sz w:val="28"/>
          <w:szCs w:val="28"/>
          <w:lang w:val="sv-SE" w:eastAsia="en-US"/>
          <w14:ligatures w14:val="standardContextual"/>
        </w:rPr>
        <w:t>Bagansiapiapi</w:t>
      </w:r>
      <w:proofErr w:type="spellEnd"/>
      <w:r w:rsidRPr="00FA3885">
        <w:rPr>
          <w:rFonts w:ascii="Times New Roman" w:hAnsi="Times New Roman" w:cs="Times New Roman"/>
          <w:b/>
          <w:bCs/>
          <w:kern w:val="2"/>
          <w:sz w:val="28"/>
          <w:szCs w:val="28"/>
          <w:lang w:val="sv-SE" w:eastAsia="en-US"/>
          <w14:ligatures w14:val="standardContextual"/>
        </w:rPr>
        <w:t xml:space="preserve"> </w:t>
      </w:r>
      <w:proofErr w:type="spellStart"/>
      <w:r w:rsidRPr="00FA3885">
        <w:rPr>
          <w:rFonts w:ascii="Times New Roman" w:hAnsi="Times New Roman" w:cs="Times New Roman"/>
          <w:b/>
          <w:bCs/>
          <w:kern w:val="2"/>
          <w:sz w:val="28"/>
          <w:szCs w:val="28"/>
          <w:lang w:val="sv-SE" w:eastAsia="en-US"/>
          <w14:ligatures w14:val="standardContextual"/>
        </w:rPr>
        <w:t>Kabupaten</w:t>
      </w:r>
      <w:proofErr w:type="spellEnd"/>
      <w:r w:rsidRPr="00FA3885">
        <w:rPr>
          <w:rFonts w:ascii="Times New Roman" w:hAnsi="Times New Roman" w:cs="Times New Roman"/>
          <w:b/>
          <w:bCs/>
          <w:kern w:val="2"/>
          <w:sz w:val="28"/>
          <w:szCs w:val="28"/>
          <w:lang w:val="sv-SE" w:eastAsia="en-US"/>
          <w14:ligatures w14:val="standardContextual"/>
        </w:rPr>
        <w:t xml:space="preserve"> </w:t>
      </w:r>
      <w:proofErr w:type="spellStart"/>
      <w:r w:rsidRPr="00FA3885">
        <w:rPr>
          <w:rFonts w:ascii="Times New Roman" w:hAnsi="Times New Roman" w:cs="Times New Roman"/>
          <w:b/>
          <w:bCs/>
          <w:kern w:val="2"/>
          <w:sz w:val="28"/>
          <w:szCs w:val="28"/>
          <w:lang w:val="sv-SE" w:eastAsia="en-US"/>
          <w14:ligatures w14:val="standardContextual"/>
        </w:rPr>
        <w:t>Rokan</w:t>
      </w:r>
      <w:proofErr w:type="spellEnd"/>
      <w:r w:rsidRPr="00FA3885">
        <w:rPr>
          <w:rFonts w:ascii="Times New Roman" w:hAnsi="Times New Roman" w:cs="Times New Roman"/>
          <w:b/>
          <w:bCs/>
          <w:kern w:val="2"/>
          <w:sz w:val="28"/>
          <w:szCs w:val="28"/>
          <w:lang w:val="sv-SE" w:eastAsia="en-US"/>
          <w14:ligatures w14:val="standardContextual"/>
        </w:rPr>
        <w:t xml:space="preserve"> </w:t>
      </w:r>
      <w:proofErr w:type="spellStart"/>
      <w:r w:rsidRPr="00FA3885">
        <w:rPr>
          <w:rFonts w:ascii="Times New Roman" w:hAnsi="Times New Roman" w:cs="Times New Roman"/>
          <w:b/>
          <w:bCs/>
          <w:kern w:val="2"/>
          <w:sz w:val="28"/>
          <w:szCs w:val="28"/>
          <w:lang w:val="sv-SE" w:eastAsia="en-US"/>
          <w14:ligatures w14:val="standardContextual"/>
        </w:rPr>
        <w:t>Hilir</w:t>
      </w:r>
      <w:proofErr w:type="spellEnd"/>
    </w:p>
    <w:p w14:paraId="1E7F5DC4" w14:textId="77777777" w:rsidR="00FA3885" w:rsidRDefault="00FA3885" w:rsidP="00D162FC">
      <w:pPr>
        <w:spacing w:after="0" w:line="240" w:lineRule="auto"/>
        <w:jc w:val="center"/>
        <w:rPr>
          <w:rFonts w:ascii="Times New Roman" w:hAnsi="Times New Roman" w:cs="Times New Roman"/>
          <w:b/>
          <w:bCs/>
          <w:color w:val="000000" w:themeColor="text1"/>
          <w:kern w:val="2"/>
          <w:lang w:val="nb-NO" w:eastAsia="en-US"/>
          <w14:ligatures w14:val="standardContextual"/>
        </w:rPr>
      </w:pPr>
    </w:p>
    <w:p w14:paraId="5E45EF7F" w14:textId="216E45FA" w:rsidR="00D162FC" w:rsidRPr="00FA3885" w:rsidRDefault="00D162FC" w:rsidP="00D162FC">
      <w:pPr>
        <w:spacing w:after="0" w:line="240" w:lineRule="auto"/>
        <w:jc w:val="center"/>
        <w:rPr>
          <w:rFonts w:ascii="Times New Roman" w:hAnsi="Times New Roman" w:cs="Times New Roman"/>
          <w:b/>
          <w:bCs/>
          <w:color w:val="000000" w:themeColor="text1"/>
          <w:kern w:val="2"/>
          <w:lang w:val="nb-NO" w:eastAsia="en-US"/>
          <w14:ligatures w14:val="standardContextual"/>
        </w:rPr>
      </w:pPr>
      <w:r w:rsidRPr="00D162FC">
        <w:rPr>
          <w:rFonts w:ascii="Times New Roman" w:hAnsi="Times New Roman" w:cs="Times New Roman"/>
          <w:b/>
          <w:bCs/>
          <w:color w:val="000000" w:themeColor="text1"/>
          <w:kern w:val="2"/>
          <w:lang w:val="nb-NO" w:eastAsia="en-US"/>
          <w14:ligatures w14:val="standardContextual"/>
        </w:rPr>
        <w:t>Rahma Julika</w:t>
      </w:r>
    </w:p>
    <w:p w14:paraId="3DC68038" w14:textId="711FF61C" w:rsidR="00D162FC" w:rsidRPr="00D162FC" w:rsidRDefault="00D162FC" w:rsidP="00D162FC">
      <w:pPr>
        <w:spacing w:after="0" w:line="240" w:lineRule="auto"/>
        <w:jc w:val="center"/>
        <w:rPr>
          <w:rFonts w:ascii="Times New Roman" w:hAnsi="Times New Roman" w:cs="Times New Roman"/>
          <w:color w:val="000000" w:themeColor="text1"/>
          <w:kern w:val="2"/>
          <w:lang w:val="nb-NO" w:eastAsia="en-US"/>
          <w14:ligatures w14:val="standardContextual"/>
        </w:rPr>
      </w:pPr>
      <w:r w:rsidRPr="00D162FC">
        <w:rPr>
          <w:rFonts w:ascii="Times New Roman" w:hAnsi="Times New Roman" w:cs="Times New Roman"/>
          <w:color w:val="000000" w:themeColor="text1"/>
          <w:kern w:val="2"/>
          <w:lang w:val="nb-NO" w:eastAsia="en-US"/>
          <w14:ligatures w14:val="standardContextual"/>
        </w:rPr>
        <w:t>Universitas Islam Negeri Sumatera Utara</w:t>
      </w:r>
    </w:p>
    <w:p w14:paraId="3E66EBC6" w14:textId="3C5139B0" w:rsidR="00D162FC" w:rsidRPr="00FA3885" w:rsidRDefault="00D162FC" w:rsidP="00D162FC">
      <w:pPr>
        <w:spacing w:after="0" w:line="240" w:lineRule="auto"/>
        <w:jc w:val="center"/>
        <w:rPr>
          <w:rFonts w:ascii="Times New Roman" w:hAnsi="Times New Roman" w:cs="Times New Roman"/>
          <w:color w:val="000000" w:themeColor="text1"/>
          <w:kern w:val="2"/>
          <w:lang w:val="sv-SE" w:eastAsia="en-US"/>
          <w14:ligatures w14:val="standardContextual"/>
        </w:rPr>
      </w:pPr>
      <w:r w:rsidRPr="00D162FC">
        <w:rPr>
          <w:rFonts w:ascii="Times New Roman" w:hAnsi="Times New Roman" w:cs="Times New Roman"/>
          <w:color w:val="000000" w:themeColor="text1"/>
          <w:kern w:val="2"/>
          <w:lang w:val="sv-SE" w:eastAsia="en-US"/>
          <w14:ligatures w14:val="standardContextual"/>
        </w:rPr>
        <w:t xml:space="preserve">Email: </w:t>
      </w:r>
      <w:hyperlink r:id="rId9" w:history="1">
        <w:r w:rsidRPr="00D162FC">
          <w:rPr>
            <w:rStyle w:val="Hyperlink"/>
            <w:rFonts w:ascii="Times New Roman" w:hAnsi="Times New Roman" w:cs="Times New Roman"/>
            <w:color w:val="000000" w:themeColor="text1"/>
            <w:kern w:val="2"/>
            <w:u w:val="none"/>
            <w:lang w:val="sv-SE" w:eastAsia="en-US"/>
            <w14:ligatures w14:val="standardContextual"/>
          </w:rPr>
          <w:t>rahmajulika0406213047@uinsu.ac.id</w:t>
        </w:r>
      </w:hyperlink>
    </w:p>
    <w:p w14:paraId="5BB76DA9" w14:textId="77777777" w:rsidR="00D162FC" w:rsidRPr="00FA3885" w:rsidRDefault="00D162FC" w:rsidP="00D162FC">
      <w:pPr>
        <w:spacing w:after="0" w:line="240" w:lineRule="auto"/>
        <w:jc w:val="center"/>
        <w:rPr>
          <w:rFonts w:ascii="Times New Roman" w:hAnsi="Times New Roman" w:cs="Times New Roman"/>
          <w:color w:val="000000" w:themeColor="text1"/>
          <w:kern w:val="2"/>
          <w:lang w:val="nb-NO" w:eastAsia="en-US"/>
          <w14:ligatures w14:val="standardContextual"/>
        </w:rPr>
      </w:pPr>
    </w:p>
    <w:p w14:paraId="32EDE9F5" w14:textId="6466B135" w:rsidR="00D162FC" w:rsidRPr="00D162FC" w:rsidRDefault="00D162FC" w:rsidP="00D162FC">
      <w:pPr>
        <w:spacing w:after="0" w:line="240" w:lineRule="auto"/>
        <w:jc w:val="center"/>
        <w:rPr>
          <w:rFonts w:ascii="Times New Roman" w:hAnsi="Times New Roman" w:cs="Times New Roman"/>
          <w:b/>
          <w:bCs/>
          <w:color w:val="000000" w:themeColor="text1"/>
          <w:kern w:val="2"/>
          <w:vertAlign w:val="superscript"/>
          <w:lang w:val="nb-NO" w:eastAsia="en-US"/>
          <w14:ligatures w14:val="standardContextual"/>
        </w:rPr>
      </w:pPr>
      <w:r w:rsidRPr="00D162FC">
        <w:rPr>
          <w:rFonts w:ascii="Times New Roman" w:hAnsi="Times New Roman" w:cs="Times New Roman"/>
          <w:b/>
          <w:bCs/>
          <w:color w:val="000000" w:themeColor="text1"/>
          <w:kern w:val="2"/>
          <w:lang w:val="nb-NO" w:eastAsia="en-US"/>
          <w14:ligatures w14:val="standardContextual"/>
        </w:rPr>
        <w:t>Idris Siregar</w:t>
      </w:r>
    </w:p>
    <w:p w14:paraId="6C3518D8" w14:textId="65F41310" w:rsidR="00D162FC" w:rsidRPr="00D162FC" w:rsidRDefault="00D162FC" w:rsidP="00D162FC">
      <w:pPr>
        <w:spacing w:after="0" w:line="240" w:lineRule="auto"/>
        <w:jc w:val="center"/>
        <w:rPr>
          <w:rFonts w:ascii="Times New Roman" w:hAnsi="Times New Roman" w:cs="Times New Roman"/>
          <w:color w:val="000000" w:themeColor="text1"/>
          <w:kern w:val="2"/>
          <w:lang w:val="nb-NO" w:eastAsia="en-US"/>
          <w14:ligatures w14:val="standardContextual"/>
        </w:rPr>
      </w:pPr>
      <w:r w:rsidRPr="00D162FC">
        <w:rPr>
          <w:rFonts w:ascii="Times New Roman" w:hAnsi="Times New Roman" w:cs="Times New Roman"/>
          <w:color w:val="000000" w:themeColor="text1"/>
          <w:kern w:val="2"/>
          <w:lang w:val="nb-NO" w:eastAsia="en-US"/>
          <w14:ligatures w14:val="standardContextual"/>
        </w:rPr>
        <w:t>Universitas Islam Negeri Sumatera Utara</w:t>
      </w:r>
    </w:p>
    <w:p w14:paraId="4C070330" w14:textId="0B11AC94" w:rsidR="00D162FC" w:rsidRPr="00D162FC" w:rsidRDefault="00D162FC" w:rsidP="00D162FC">
      <w:pPr>
        <w:spacing w:after="0" w:line="240" w:lineRule="auto"/>
        <w:jc w:val="center"/>
        <w:rPr>
          <w:rFonts w:ascii="Times New Roman" w:hAnsi="Times New Roman" w:cs="Times New Roman"/>
          <w:color w:val="000000" w:themeColor="text1"/>
          <w:kern w:val="2"/>
          <w:lang w:val="sv-SE" w:eastAsia="en-US"/>
          <w14:ligatures w14:val="standardContextual"/>
        </w:rPr>
      </w:pPr>
      <w:r w:rsidRPr="00D162FC">
        <w:rPr>
          <w:rFonts w:ascii="Times New Roman" w:hAnsi="Times New Roman" w:cs="Times New Roman"/>
          <w:color w:val="000000" w:themeColor="text1"/>
          <w:kern w:val="2"/>
          <w:lang w:val="sv-SE" w:eastAsia="en-US"/>
          <w14:ligatures w14:val="standardContextual"/>
        </w:rPr>
        <w:t xml:space="preserve">Email: </w:t>
      </w:r>
      <w:r w:rsidRPr="00D162FC">
        <w:rPr>
          <w:rFonts w:ascii="Times New Roman" w:hAnsi="Times New Roman" w:cs="Times New Roman"/>
          <w:noProof/>
          <w:color w:val="000000" w:themeColor="text1"/>
          <w:kern w:val="2"/>
          <w:lang w:val="sv-SE" w:eastAsia="en-US"/>
          <w14:ligatures w14:val="standardContextual"/>
        </w:rPr>
        <w:t>idrissiregar@uinsu.ac.id</w:t>
      </w:r>
    </w:p>
    <w:p w14:paraId="4E10A211" w14:textId="0FB627C7" w:rsidR="00E150EB" w:rsidRPr="00D162FC" w:rsidRDefault="00E150EB" w:rsidP="00E150EB">
      <w:pPr>
        <w:spacing w:after="0"/>
        <w:jc w:val="center"/>
        <w:rPr>
          <w:rFonts w:asciiTheme="majorBidi" w:hAnsiTheme="majorBidi" w:cstheme="majorBidi"/>
          <w:kern w:val="2"/>
          <w:sz w:val="24"/>
          <w:szCs w:val="24"/>
          <w:lang w:val="sv-SE" w:eastAsia="en-US"/>
          <w14:ligatures w14:val="standardContextual"/>
        </w:rPr>
      </w:pPr>
    </w:p>
    <w:p w14:paraId="200A4B1F" w14:textId="77777777" w:rsidR="00FA3885" w:rsidRPr="00FA3885" w:rsidRDefault="00FA3885" w:rsidP="003734C5">
      <w:pPr>
        <w:spacing w:after="0" w:line="240" w:lineRule="auto"/>
        <w:rPr>
          <w:rFonts w:ascii="Times New Arabic" w:hAnsi="Times New Arabic"/>
          <w:b/>
          <w:bCs/>
          <w:sz w:val="24"/>
          <w:szCs w:val="24"/>
          <w:lang w:eastAsia="id-ID"/>
        </w:rPr>
      </w:pPr>
      <w:proofErr w:type="spellStart"/>
      <w:r w:rsidRPr="00FA3885">
        <w:rPr>
          <w:rFonts w:ascii="Times New Arabic" w:hAnsi="Times New Arabic"/>
          <w:b/>
          <w:bCs/>
          <w:sz w:val="24"/>
          <w:szCs w:val="24"/>
          <w:lang w:eastAsia="id-ID"/>
        </w:rPr>
        <w:t>Abstract</w:t>
      </w:r>
      <w:proofErr w:type="spellEnd"/>
      <w:r w:rsidRPr="00FA3885">
        <w:rPr>
          <w:rFonts w:ascii="Times New Arabic" w:hAnsi="Times New Arabic"/>
          <w:b/>
          <w:bCs/>
          <w:sz w:val="24"/>
          <w:szCs w:val="24"/>
          <w:lang w:eastAsia="id-ID"/>
        </w:rPr>
        <w:t xml:space="preserve"> </w:t>
      </w:r>
    </w:p>
    <w:p w14:paraId="45F0B170" w14:textId="77777777" w:rsidR="00FA3885" w:rsidRPr="00FA3885" w:rsidRDefault="00FA3885" w:rsidP="003734C5">
      <w:pPr>
        <w:spacing w:line="240" w:lineRule="auto"/>
        <w:jc w:val="both"/>
        <w:rPr>
          <w:rFonts w:ascii="Times New Arabic" w:hAnsi="Times New Arabic"/>
          <w:i/>
          <w:iCs/>
          <w:sz w:val="24"/>
          <w:szCs w:val="24"/>
          <w:lang w:eastAsia="id-ID"/>
        </w:rPr>
      </w:pPr>
      <w:proofErr w:type="spellStart"/>
      <w:r w:rsidRPr="00FA3885">
        <w:rPr>
          <w:rFonts w:ascii="Times New Arabic" w:hAnsi="Times New Arabic"/>
          <w:i/>
          <w:iCs/>
          <w:sz w:val="24"/>
          <w:szCs w:val="24"/>
          <w:lang w:eastAsia="id-ID"/>
        </w:rPr>
        <w:t>This</w:t>
      </w:r>
      <w:proofErr w:type="spellEnd"/>
      <w:r w:rsidRPr="00FA3885">
        <w:rPr>
          <w:rFonts w:ascii="Times New Arabic" w:hAnsi="Times New Arabic"/>
          <w:i/>
          <w:iCs/>
          <w:sz w:val="24"/>
          <w:szCs w:val="24"/>
          <w:lang w:eastAsia="id-ID"/>
        </w:rPr>
        <w:t xml:space="preserve"> study </w:t>
      </w:r>
      <w:proofErr w:type="spellStart"/>
      <w:r w:rsidRPr="00FA3885">
        <w:rPr>
          <w:rFonts w:ascii="Times New Arabic" w:hAnsi="Times New Arabic"/>
          <w:i/>
          <w:iCs/>
          <w:sz w:val="24"/>
          <w:szCs w:val="24"/>
          <w:lang w:eastAsia="id-ID"/>
        </w:rPr>
        <w:t>examines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responses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Islamic </w:t>
      </w:r>
      <w:proofErr w:type="spellStart"/>
      <w:r w:rsidRPr="00FA3885">
        <w:rPr>
          <w:rFonts w:ascii="Times New Arabic" w:hAnsi="Times New Arabic"/>
          <w:i/>
          <w:iCs/>
          <w:sz w:val="24"/>
          <w:szCs w:val="24"/>
          <w:lang w:eastAsia="id-ID"/>
        </w:rPr>
        <w:t>leaders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to</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presence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Muslims</w:t>
      </w:r>
      <w:proofErr w:type="spellEnd"/>
      <w:r w:rsidRPr="00FA3885">
        <w:rPr>
          <w:rFonts w:ascii="Times New Arabic" w:hAnsi="Times New Arabic"/>
          <w:i/>
          <w:iCs/>
          <w:sz w:val="24"/>
          <w:szCs w:val="24"/>
          <w:lang w:eastAsia="id-ID"/>
        </w:rPr>
        <w:t xml:space="preserve"> in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Bakar Tongkang </w:t>
      </w:r>
      <w:proofErr w:type="spellStart"/>
      <w:r w:rsidRPr="00FA3885">
        <w:rPr>
          <w:rFonts w:ascii="Times New Arabic" w:hAnsi="Times New Arabic"/>
          <w:i/>
          <w:iCs/>
          <w:sz w:val="24"/>
          <w:szCs w:val="24"/>
          <w:lang w:eastAsia="id-ID"/>
        </w:rPr>
        <w:t>celebration</w:t>
      </w:r>
      <w:proofErr w:type="spellEnd"/>
      <w:r w:rsidRPr="00FA3885">
        <w:rPr>
          <w:rFonts w:ascii="Times New Arabic" w:hAnsi="Times New Arabic"/>
          <w:i/>
          <w:iCs/>
          <w:sz w:val="24"/>
          <w:szCs w:val="24"/>
          <w:lang w:eastAsia="id-ID"/>
        </w:rPr>
        <w:t xml:space="preserve"> in </w:t>
      </w:r>
      <w:proofErr w:type="spellStart"/>
      <w:r w:rsidRPr="00FA3885">
        <w:rPr>
          <w:rFonts w:ascii="Times New Arabic" w:hAnsi="Times New Arabic"/>
          <w:i/>
          <w:iCs/>
          <w:sz w:val="24"/>
          <w:szCs w:val="24"/>
          <w:lang w:eastAsia="id-ID"/>
        </w:rPr>
        <w:t>Bagansiapiapi</w:t>
      </w:r>
      <w:proofErr w:type="spellEnd"/>
      <w:r w:rsidRPr="00FA3885">
        <w:rPr>
          <w:rFonts w:ascii="Times New Arabic" w:hAnsi="Times New Arabic"/>
          <w:i/>
          <w:iCs/>
          <w:sz w:val="24"/>
          <w:szCs w:val="24"/>
          <w:lang w:eastAsia="id-ID"/>
        </w:rPr>
        <w:t xml:space="preserve">, Rokan Hilir, Riau, </w:t>
      </w:r>
      <w:proofErr w:type="spellStart"/>
      <w:r w:rsidRPr="00FA3885">
        <w:rPr>
          <w:rFonts w:ascii="Times New Arabic" w:hAnsi="Times New Arabic"/>
          <w:i/>
          <w:iCs/>
          <w:sz w:val="24"/>
          <w:szCs w:val="24"/>
          <w:lang w:eastAsia="id-ID"/>
        </w:rPr>
        <w:t>with</w:t>
      </w:r>
      <w:proofErr w:type="spellEnd"/>
      <w:r w:rsidRPr="00FA3885">
        <w:rPr>
          <w:rFonts w:ascii="Times New Arabic" w:hAnsi="Times New Arabic"/>
          <w:i/>
          <w:iCs/>
          <w:sz w:val="24"/>
          <w:szCs w:val="24"/>
          <w:lang w:eastAsia="id-ID"/>
        </w:rPr>
        <w:t xml:space="preserve"> a </w:t>
      </w:r>
      <w:proofErr w:type="spellStart"/>
      <w:r w:rsidRPr="00FA3885">
        <w:rPr>
          <w:rFonts w:ascii="Times New Arabic" w:hAnsi="Times New Arabic"/>
          <w:i/>
          <w:iCs/>
          <w:sz w:val="24"/>
          <w:szCs w:val="24"/>
          <w:lang w:eastAsia="id-ID"/>
        </w:rPr>
        <w:t>focus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its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social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and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theological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implications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This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tradition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which</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originated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from</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Chinese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ethnic</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group</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contains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religious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symbolism</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giving</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rise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to</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debates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about</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limits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participation</w:t>
      </w:r>
      <w:proofErr w:type="spellEnd"/>
      <w:r w:rsidRPr="00FA3885">
        <w:rPr>
          <w:rFonts w:ascii="Times New Arabic" w:hAnsi="Times New Arabic"/>
          <w:i/>
          <w:iCs/>
          <w:sz w:val="24"/>
          <w:szCs w:val="24"/>
          <w:lang w:eastAsia="id-ID"/>
        </w:rPr>
        <w:t xml:space="preserve"> in </w:t>
      </w:r>
      <w:proofErr w:type="spellStart"/>
      <w:r w:rsidRPr="00FA3885">
        <w:rPr>
          <w:rFonts w:ascii="Times New Arabic" w:hAnsi="Times New Arabic"/>
          <w:i/>
          <w:iCs/>
          <w:sz w:val="24"/>
          <w:szCs w:val="24"/>
          <w:lang w:eastAsia="id-ID"/>
        </w:rPr>
        <w:t>accordance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with</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principle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tasyabbuh</w:t>
      </w:r>
      <w:proofErr w:type="spellEnd"/>
      <w:r w:rsidRPr="00FA3885">
        <w:rPr>
          <w:rFonts w:ascii="Times New Arabic" w:hAnsi="Times New Arabic"/>
          <w:i/>
          <w:iCs/>
          <w:sz w:val="24"/>
          <w:szCs w:val="24"/>
          <w:lang w:eastAsia="id-ID"/>
        </w:rPr>
        <w:t xml:space="preserve">. The </w:t>
      </w:r>
      <w:proofErr w:type="spellStart"/>
      <w:r w:rsidRPr="00FA3885">
        <w:rPr>
          <w:rFonts w:ascii="Times New Arabic" w:hAnsi="Times New Arabic"/>
          <w:i/>
          <w:iCs/>
          <w:sz w:val="24"/>
          <w:szCs w:val="24"/>
          <w:lang w:eastAsia="id-ID"/>
        </w:rPr>
        <w:t>objectives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this</w:t>
      </w:r>
      <w:proofErr w:type="spellEnd"/>
      <w:r w:rsidRPr="00FA3885">
        <w:rPr>
          <w:rFonts w:ascii="Times New Arabic" w:hAnsi="Times New Arabic"/>
          <w:i/>
          <w:iCs/>
          <w:sz w:val="24"/>
          <w:szCs w:val="24"/>
          <w:lang w:eastAsia="id-ID"/>
        </w:rPr>
        <w:t xml:space="preserve"> study are </w:t>
      </w:r>
      <w:proofErr w:type="spellStart"/>
      <w:r w:rsidRPr="00FA3885">
        <w:rPr>
          <w:rFonts w:ascii="Times New Arabic" w:hAnsi="Times New Arabic"/>
          <w:i/>
          <w:iCs/>
          <w:sz w:val="24"/>
          <w:szCs w:val="24"/>
          <w:lang w:eastAsia="id-ID"/>
        </w:rPr>
        <w:t>to</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explore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views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religious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leaders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analyze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socio-theological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consequences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and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formulate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alternative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approaches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to</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religious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moderation</w:t>
      </w:r>
      <w:proofErr w:type="spellEnd"/>
      <w:r w:rsidRPr="00FA3885">
        <w:rPr>
          <w:rFonts w:ascii="Times New Arabic" w:hAnsi="Times New Arabic"/>
          <w:i/>
          <w:iCs/>
          <w:sz w:val="24"/>
          <w:szCs w:val="24"/>
          <w:lang w:eastAsia="id-ID"/>
        </w:rPr>
        <w:t xml:space="preserve"> in a </w:t>
      </w:r>
      <w:proofErr w:type="spellStart"/>
      <w:r w:rsidRPr="00FA3885">
        <w:rPr>
          <w:rFonts w:ascii="Times New Arabic" w:hAnsi="Times New Arabic"/>
          <w:i/>
          <w:iCs/>
          <w:sz w:val="24"/>
          <w:szCs w:val="24"/>
          <w:lang w:eastAsia="id-ID"/>
        </w:rPr>
        <w:t>multicultural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society</w:t>
      </w:r>
      <w:proofErr w:type="spellEnd"/>
      <w:r w:rsidRPr="00FA3885">
        <w:rPr>
          <w:rFonts w:ascii="Times New Arabic" w:hAnsi="Times New Arabic"/>
          <w:i/>
          <w:iCs/>
          <w:sz w:val="24"/>
          <w:szCs w:val="24"/>
          <w:lang w:eastAsia="id-ID"/>
        </w:rPr>
        <w:t xml:space="preserve">. The </w:t>
      </w:r>
      <w:proofErr w:type="spellStart"/>
      <w:r w:rsidRPr="00FA3885">
        <w:rPr>
          <w:rFonts w:ascii="Times New Arabic" w:hAnsi="Times New Arabic"/>
          <w:i/>
          <w:iCs/>
          <w:sz w:val="24"/>
          <w:szCs w:val="24"/>
          <w:lang w:eastAsia="id-ID"/>
        </w:rPr>
        <w:t>research</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method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used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is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qualitative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with</w:t>
      </w:r>
      <w:proofErr w:type="spellEnd"/>
      <w:r w:rsidRPr="00FA3885">
        <w:rPr>
          <w:rFonts w:ascii="Times New Arabic" w:hAnsi="Times New Arabic"/>
          <w:i/>
          <w:iCs/>
          <w:sz w:val="24"/>
          <w:szCs w:val="24"/>
          <w:lang w:eastAsia="id-ID"/>
        </w:rPr>
        <w:t xml:space="preserve"> a </w:t>
      </w:r>
      <w:proofErr w:type="spellStart"/>
      <w:r w:rsidRPr="00FA3885">
        <w:rPr>
          <w:rFonts w:ascii="Times New Arabic" w:hAnsi="Times New Arabic"/>
          <w:i/>
          <w:iCs/>
          <w:sz w:val="24"/>
          <w:szCs w:val="24"/>
          <w:lang w:eastAsia="id-ID"/>
        </w:rPr>
        <w:t>case</w:t>
      </w:r>
      <w:proofErr w:type="spellEnd"/>
      <w:r w:rsidRPr="00FA3885">
        <w:rPr>
          <w:rFonts w:ascii="Times New Arabic" w:hAnsi="Times New Arabic"/>
          <w:i/>
          <w:iCs/>
          <w:sz w:val="24"/>
          <w:szCs w:val="24"/>
          <w:lang w:eastAsia="id-ID"/>
        </w:rPr>
        <w:t xml:space="preserve"> study. </w:t>
      </w:r>
      <w:proofErr w:type="spellStart"/>
      <w:r w:rsidRPr="00FA3885">
        <w:rPr>
          <w:rFonts w:ascii="Times New Arabic" w:hAnsi="Times New Arabic"/>
          <w:i/>
          <w:iCs/>
          <w:sz w:val="24"/>
          <w:szCs w:val="24"/>
          <w:lang w:eastAsia="id-ID"/>
        </w:rPr>
        <w:t>Primary</w:t>
      </w:r>
      <w:proofErr w:type="spellEnd"/>
      <w:r w:rsidRPr="00FA3885">
        <w:rPr>
          <w:rFonts w:ascii="Times New Arabic" w:hAnsi="Times New Arabic"/>
          <w:i/>
          <w:iCs/>
          <w:sz w:val="24"/>
          <w:szCs w:val="24"/>
          <w:lang w:eastAsia="id-ID"/>
        </w:rPr>
        <w:t xml:space="preserve"> data were </w:t>
      </w:r>
      <w:proofErr w:type="spellStart"/>
      <w:r w:rsidRPr="00FA3885">
        <w:rPr>
          <w:rFonts w:ascii="Times New Arabic" w:hAnsi="Times New Arabic"/>
          <w:i/>
          <w:iCs/>
          <w:sz w:val="24"/>
          <w:szCs w:val="24"/>
          <w:lang w:eastAsia="id-ID"/>
        </w:rPr>
        <w:t>obtained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through</w:t>
      </w:r>
      <w:proofErr w:type="spellEnd"/>
      <w:r w:rsidRPr="00FA3885">
        <w:rPr>
          <w:rFonts w:ascii="Times New Arabic" w:hAnsi="Times New Arabic"/>
          <w:i/>
          <w:iCs/>
          <w:sz w:val="24"/>
          <w:szCs w:val="24"/>
          <w:lang w:eastAsia="id-ID"/>
        </w:rPr>
        <w:t xml:space="preserve"> in-</w:t>
      </w:r>
      <w:proofErr w:type="spellStart"/>
      <w:r w:rsidRPr="00FA3885">
        <w:rPr>
          <w:rFonts w:ascii="Times New Arabic" w:hAnsi="Times New Arabic"/>
          <w:i/>
          <w:iCs/>
          <w:sz w:val="24"/>
          <w:szCs w:val="24"/>
          <w:lang w:eastAsia="id-ID"/>
        </w:rPr>
        <w:t>depth</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interviews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with</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Head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Indonesian </w:t>
      </w:r>
      <w:proofErr w:type="spellStart"/>
      <w:r w:rsidRPr="00FA3885">
        <w:rPr>
          <w:rFonts w:ascii="Times New Arabic" w:hAnsi="Times New Arabic"/>
          <w:i/>
          <w:iCs/>
          <w:sz w:val="24"/>
          <w:szCs w:val="24"/>
          <w:lang w:eastAsia="id-ID"/>
        </w:rPr>
        <w:t>Ulema</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Council</w:t>
      </w:r>
      <w:proofErr w:type="spellEnd"/>
      <w:r w:rsidRPr="00FA3885">
        <w:rPr>
          <w:rFonts w:ascii="Times New Arabic" w:hAnsi="Times New Arabic"/>
          <w:i/>
          <w:iCs/>
          <w:sz w:val="24"/>
          <w:szCs w:val="24"/>
          <w:lang w:eastAsia="id-ID"/>
        </w:rPr>
        <w:t xml:space="preserve"> (MUI)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Rohil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representatives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Riau </w:t>
      </w:r>
      <w:proofErr w:type="spellStart"/>
      <w:r w:rsidRPr="00FA3885">
        <w:rPr>
          <w:rFonts w:ascii="Times New Arabic" w:hAnsi="Times New Arabic"/>
          <w:i/>
          <w:iCs/>
          <w:sz w:val="24"/>
          <w:szCs w:val="24"/>
          <w:lang w:eastAsia="id-ID"/>
        </w:rPr>
        <w:t>Provincial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Ministry</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Religious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Affairs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and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local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religious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scholars</w:t>
      </w:r>
      <w:proofErr w:type="spellEnd"/>
      <w:r w:rsidRPr="00FA3885">
        <w:rPr>
          <w:rFonts w:ascii="Times New Arabic" w:hAnsi="Times New Arabic"/>
          <w:i/>
          <w:iCs/>
          <w:sz w:val="24"/>
          <w:szCs w:val="24"/>
          <w:lang w:eastAsia="id-ID"/>
        </w:rPr>
        <w:t xml:space="preserve">, as </w:t>
      </w:r>
      <w:proofErr w:type="spellStart"/>
      <w:r w:rsidRPr="00FA3885">
        <w:rPr>
          <w:rFonts w:ascii="Times New Arabic" w:hAnsi="Times New Arabic"/>
          <w:i/>
          <w:iCs/>
          <w:sz w:val="24"/>
          <w:szCs w:val="24"/>
          <w:lang w:eastAsia="id-ID"/>
        </w:rPr>
        <w:t>well</w:t>
      </w:r>
      <w:proofErr w:type="spellEnd"/>
      <w:r w:rsidRPr="00FA3885">
        <w:rPr>
          <w:rFonts w:ascii="Times New Arabic" w:hAnsi="Times New Arabic"/>
          <w:i/>
          <w:iCs/>
          <w:sz w:val="24"/>
          <w:szCs w:val="24"/>
          <w:lang w:eastAsia="id-ID"/>
        </w:rPr>
        <w:t xml:space="preserve"> as </w:t>
      </w:r>
      <w:proofErr w:type="spellStart"/>
      <w:r w:rsidRPr="00FA3885">
        <w:rPr>
          <w:rFonts w:ascii="Times New Arabic" w:hAnsi="Times New Arabic"/>
          <w:i/>
          <w:iCs/>
          <w:sz w:val="24"/>
          <w:szCs w:val="24"/>
          <w:lang w:eastAsia="id-ID"/>
        </w:rPr>
        <w:t>direct</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observation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Bakar Tongkang </w:t>
      </w:r>
      <w:proofErr w:type="spellStart"/>
      <w:r w:rsidRPr="00FA3885">
        <w:rPr>
          <w:rFonts w:ascii="Times New Arabic" w:hAnsi="Times New Arabic"/>
          <w:i/>
          <w:iCs/>
          <w:sz w:val="24"/>
          <w:szCs w:val="24"/>
          <w:lang w:eastAsia="id-ID"/>
        </w:rPr>
        <w:t>procession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Secondary</w:t>
      </w:r>
      <w:proofErr w:type="spellEnd"/>
      <w:r w:rsidRPr="00FA3885">
        <w:rPr>
          <w:rFonts w:ascii="Times New Arabic" w:hAnsi="Times New Arabic"/>
          <w:i/>
          <w:iCs/>
          <w:sz w:val="24"/>
          <w:szCs w:val="24"/>
          <w:lang w:eastAsia="id-ID"/>
        </w:rPr>
        <w:t xml:space="preserve"> data </w:t>
      </w:r>
      <w:proofErr w:type="spellStart"/>
      <w:r w:rsidRPr="00FA3885">
        <w:rPr>
          <w:rFonts w:ascii="Times New Arabic" w:hAnsi="Times New Arabic"/>
          <w:i/>
          <w:iCs/>
          <w:sz w:val="24"/>
          <w:szCs w:val="24"/>
          <w:lang w:eastAsia="id-ID"/>
        </w:rPr>
        <w:t>included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classical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and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contemporary</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hadith</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literature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studies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religious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moderation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and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ethnographic</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studies</w:t>
      </w:r>
      <w:proofErr w:type="spellEnd"/>
      <w:r w:rsidRPr="00FA3885">
        <w:rPr>
          <w:rFonts w:ascii="Times New Arabic" w:hAnsi="Times New Arabic"/>
          <w:i/>
          <w:iCs/>
          <w:sz w:val="24"/>
          <w:szCs w:val="24"/>
          <w:lang w:eastAsia="id-ID"/>
        </w:rPr>
        <w:t xml:space="preserve">. The </w:t>
      </w:r>
      <w:proofErr w:type="spellStart"/>
      <w:r w:rsidRPr="00FA3885">
        <w:rPr>
          <w:rFonts w:ascii="Times New Arabic" w:hAnsi="Times New Arabic"/>
          <w:i/>
          <w:iCs/>
          <w:sz w:val="24"/>
          <w:szCs w:val="24"/>
          <w:lang w:eastAsia="id-ID"/>
        </w:rPr>
        <w:t>analysis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used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Miles &amp; </w:t>
      </w:r>
      <w:proofErr w:type="spellStart"/>
      <w:r w:rsidRPr="00FA3885">
        <w:rPr>
          <w:rFonts w:ascii="Times New Arabic" w:hAnsi="Times New Arabic"/>
          <w:i/>
          <w:iCs/>
          <w:sz w:val="24"/>
          <w:szCs w:val="24"/>
          <w:lang w:eastAsia="id-ID"/>
        </w:rPr>
        <w:t>Huberman</w:t>
      </w:r>
      <w:proofErr w:type="spellEnd"/>
      <w:r w:rsidRPr="00FA3885">
        <w:rPr>
          <w:rFonts w:ascii="Times New Arabic" w:hAnsi="Times New Arabic"/>
          <w:i/>
          <w:iCs/>
          <w:sz w:val="24"/>
          <w:szCs w:val="24"/>
          <w:lang w:eastAsia="id-ID"/>
        </w:rPr>
        <w:t xml:space="preserve"> model </w:t>
      </w:r>
      <w:proofErr w:type="spellStart"/>
      <w:r w:rsidRPr="00FA3885">
        <w:rPr>
          <w:rFonts w:ascii="Times New Arabic" w:hAnsi="Times New Arabic"/>
          <w:i/>
          <w:iCs/>
          <w:sz w:val="24"/>
          <w:szCs w:val="24"/>
          <w:lang w:eastAsia="id-ID"/>
        </w:rPr>
        <w:t>with</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triangulation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sources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and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methods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to</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ensure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validity</w:t>
      </w:r>
      <w:proofErr w:type="spellEnd"/>
      <w:r w:rsidRPr="00FA3885">
        <w:rPr>
          <w:rFonts w:ascii="Times New Arabic" w:hAnsi="Times New Arabic"/>
          <w:i/>
          <w:iCs/>
          <w:sz w:val="24"/>
          <w:szCs w:val="24"/>
          <w:lang w:eastAsia="id-ID"/>
        </w:rPr>
        <w:t xml:space="preserve">. The </w:t>
      </w:r>
      <w:proofErr w:type="spellStart"/>
      <w:r w:rsidRPr="00FA3885">
        <w:rPr>
          <w:rFonts w:ascii="Times New Arabic" w:hAnsi="Times New Arabic"/>
          <w:i/>
          <w:iCs/>
          <w:sz w:val="24"/>
          <w:szCs w:val="24"/>
          <w:lang w:eastAsia="id-ID"/>
        </w:rPr>
        <w:t>results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showed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that</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MUI </w:t>
      </w:r>
      <w:proofErr w:type="spellStart"/>
      <w:r w:rsidRPr="00FA3885">
        <w:rPr>
          <w:rFonts w:ascii="Times New Arabic" w:hAnsi="Times New Arabic"/>
          <w:i/>
          <w:iCs/>
          <w:sz w:val="24"/>
          <w:szCs w:val="24"/>
          <w:lang w:eastAsia="id-ID"/>
        </w:rPr>
        <w:t>prohibited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Muslims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from</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becoming</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players</w:t>
      </w:r>
      <w:proofErr w:type="spellEnd"/>
      <w:r w:rsidRPr="00FA3885">
        <w:rPr>
          <w:rFonts w:ascii="Times New Arabic" w:hAnsi="Times New Arabic"/>
          <w:i/>
          <w:iCs/>
          <w:sz w:val="24"/>
          <w:szCs w:val="24"/>
          <w:lang w:eastAsia="id-ID"/>
        </w:rPr>
        <w:t xml:space="preserve">” in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core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rituals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but</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allowed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them</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to</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be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spectators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for</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sake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harmony</w:t>
      </w:r>
      <w:proofErr w:type="spellEnd"/>
      <w:r w:rsidRPr="00FA3885">
        <w:rPr>
          <w:rFonts w:ascii="Times New Arabic" w:hAnsi="Times New Arabic"/>
          <w:i/>
          <w:iCs/>
          <w:sz w:val="24"/>
          <w:szCs w:val="24"/>
          <w:lang w:eastAsia="id-ID"/>
        </w:rPr>
        <w:t xml:space="preserve">. The </w:t>
      </w:r>
      <w:proofErr w:type="spellStart"/>
      <w:r w:rsidRPr="00FA3885">
        <w:rPr>
          <w:rFonts w:ascii="Times New Arabic" w:hAnsi="Times New Arabic"/>
          <w:i/>
          <w:iCs/>
          <w:sz w:val="24"/>
          <w:szCs w:val="24"/>
          <w:lang w:eastAsia="id-ID"/>
        </w:rPr>
        <w:t>Ministry</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Religious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Affairs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emphasizes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religious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moderation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while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local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scholars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emphasize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respect</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without</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participation</w:t>
      </w:r>
      <w:proofErr w:type="spellEnd"/>
      <w:r w:rsidRPr="00FA3885">
        <w:rPr>
          <w:rFonts w:ascii="Times New Arabic" w:hAnsi="Times New Arabic"/>
          <w:i/>
          <w:iCs/>
          <w:sz w:val="24"/>
          <w:szCs w:val="24"/>
          <w:lang w:eastAsia="id-ID"/>
        </w:rPr>
        <w:t xml:space="preserve">. The study </w:t>
      </w:r>
      <w:proofErr w:type="spellStart"/>
      <w:r w:rsidRPr="00FA3885">
        <w:rPr>
          <w:rFonts w:ascii="Times New Arabic" w:hAnsi="Times New Arabic"/>
          <w:i/>
          <w:iCs/>
          <w:sz w:val="24"/>
          <w:szCs w:val="24"/>
          <w:lang w:eastAsia="id-ID"/>
        </w:rPr>
        <w:t>recommends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narrative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respecting</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without</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attending</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and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strengthening</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the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role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of</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institutions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education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based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maqashid</w:t>
      </w:r>
      <w:proofErr w:type="spellEnd"/>
      <w:r w:rsidRPr="00FA3885">
        <w:rPr>
          <w:rFonts w:ascii="Times New Arabic" w:hAnsi="Times New Arabic"/>
          <w:i/>
          <w:iCs/>
          <w:sz w:val="24"/>
          <w:szCs w:val="24"/>
          <w:lang w:eastAsia="id-ID"/>
        </w:rPr>
        <w:t xml:space="preserve"> syariah, </w:t>
      </w:r>
      <w:proofErr w:type="spellStart"/>
      <w:r w:rsidRPr="00FA3885">
        <w:rPr>
          <w:rFonts w:ascii="Times New Arabic" w:hAnsi="Times New Arabic"/>
          <w:i/>
          <w:iCs/>
          <w:sz w:val="24"/>
          <w:szCs w:val="24"/>
          <w:lang w:eastAsia="id-ID"/>
        </w:rPr>
        <w:t>and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inclusive</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cultural</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mediation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to</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maintain</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faith</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and</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tolerance</w:t>
      </w:r>
      <w:proofErr w:type="spellEnd"/>
      <w:r w:rsidRPr="00FA3885">
        <w:rPr>
          <w:rFonts w:ascii="Times New Arabic" w:hAnsi="Times New Arabic"/>
          <w:i/>
          <w:iCs/>
          <w:sz w:val="24"/>
          <w:szCs w:val="24"/>
          <w:lang w:eastAsia="id-ID"/>
        </w:rPr>
        <w:t>.</w:t>
      </w:r>
    </w:p>
    <w:p w14:paraId="77ED0211" w14:textId="6962F25E" w:rsidR="00D2471A" w:rsidRPr="009C5EA9" w:rsidRDefault="00FA3885" w:rsidP="003734C5">
      <w:pPr>
        <w:spacing w:line="240" w:lineRule="auto"/>
        <w:rPr>
          <w:rFonts w:ascii="Times New Arabic" w:hAnsi="Times New Arabic"/>
          <w:i/>
          <w:iCs/>
          <w:sz w:val="24"/>
          <w:szCs w:val="24"/>
          <w:lang w:eastAsia="id-ID"/>
        </w:rPr>
      </w:pPr>
      <w:proofErr w:type="spellStart"/>
      <w:r w:rsidRPr="00FA3885">
        <w:rPr>
          <w:rFonts w:ascii="Times New Arabic" w:hAnsi="Times New Arabic"/>
          <w:b/>
          <w:bCs/>
          <w:sz w:val="24"/>
          <w:szCs w:val="24"/>
          <w:lang w:eastAsia="id-ID"/>
        </w:rPr>
        <w:t>Keywords</w:t>
      </w:r>
      <w:proofErr w:type="spellEnd"/>
      <w:r w:rsidRPr="00FA3885">
        <w:rPr>
          <w:rFonts w:ascii="Times New Arabic" w:hAnsi="Times New Arabic"/>
          <w:b/>
          <w:bCs/>
          <w:sz w:val="24"/>
          <w:szCs w:val="24"/>
          <w:lang w:eastAsia="id-ID"/>
        </w:rPr>
        <w:t>:</w:t>
      </w:r>
      <w:r w:rsidRPr="00FA3885">
        <w:rPr>
          <w:rFonts w:ascii="Times New Arabic" w:hAnsi="Times New Arabic"/>
          <w:sz w:val="24"/>
          <w:szCs w:val="24"/>
          <w:lang w:eastAsia="id-ID"/>
        </w:rPr>
        <w:t xml:space="preserve"> </w:t>
      </w:r>
      <w:r w:rsidRPr="00FA3885">
        <w:rPr>
          <w:rFonts w:ascii="Times New Arabic" w:hAnsi="Times New Arabic"/>
          <w:i/>
          <w:iCs/>
          <w:sz w:val="24"/>
          <w:szCs w:val="24"/>
          <w:lang w:eastAsia="id-ID"/>
        </w:rPr>
        <w:t xml:space="preserve">Hadith, </w:t>
      </w:r>
      <w:proofErr w:type="spellStart"/>
      <w:r w:rsidRPr="00FA3885">
        <w:rPr>
          <w:rFonts w:ascii="Times New Arabic" w:hAnsi="Times New Arabic"/>
          <w:i/>
          <w:iCs/>
          <w:sz w:val="24"/>
          <w:szCs w:val="24"/>
          <w:lang w:eastAsia="id-ID"/>
        </w:rPr>
        <w:t>Tasyabbuh</w:t>
      </w:r>
      <w:proofErr w:type="spellEnd"/>
      <w:r w:rsidRPr="00FA3885">
        <w:rPr>
          <w:rFonts w:ascii="Times New Arabic" w:hAnsi="Times New Arabic"/>
          <w:i/>
          <w:iCs/>
          <w:sz w:val="24"/>
          <w:szCs w:val="24"/>
          <w:lang w:eastAsia="id-ID"/>
        </w:rPr>
        <w:t xml:space="preserve">, Islamic </w:t>
      </w:r>
      <w:proofErr w:type="spellStart"/>
      <w:r w:rsidRPr="00FA3885">
        <w:rPr>
          <w:rFonts w:ascii="Times New Arabic" w:hAnsi="Times New Arabic"/>
          <w:i/>
          <w:iCs/>
          <w:sz w:val="24"/>
          <w:szCs w:val="24"/>
          <w:lang w:eastAsia="id-ID"/>
        </w:rPr>
        <w:t>figures</w:t>
      </w:r>
      <w:proofErr w:type="spellEnd"/>
      <w:r w:rsidRPr="00FA3885">
        <w:rPr>
          <w:rFonts w:ascii="Times New Arabic" w:hAnsi="Times New Arabic"/>
          <w:i/>
          <w:iCs/>
          <w:sz w:val="24"/>
          <w:szCs w:val="24"/>
          <w:lang w:eastAsia="id-ID"/>
        </w:rPr>
        <w:t xml:space="preserve">, </w:t>
      </w:r>
      <w:proofErr w:type="spellStart"/>
      <w:r w:rsidRPr="00FA3885">
        <w:rPr>
          <w:rFonts w:ascii="Times New Arabic" w:hAnsi="Times New Arabic"/>
          <w:i/>
          <w:iCs/>
          <w:sz w:val="24"/>
          <w:szCs w:val="24"/>
          <w:lang w:eastAsia="id-ID"/>
        </w:rPr>
        <w:t>Celebrations</w:t>
      </w:r>
      <w:proofErr w:type="spellEnd"/>
      <w:r w:rsidRPr="00FA3885">
        <w:rPr>
          <w:rFonts w:ascii="Times New Arabic" w:hAnsi="Times New Arabic"/>
          <w:i/>
          <w:iCs/>
          <w:sz w:val="24"/>
          <w:szCs w:val="24"/>
          <w:lang w:eastAsia="id-ID"/>
        </w:rPr>
        <w:t>, Bakar Tongkang.</w:t>
      </w:r>
    </w:p>
    <w:p w14:paraId="55155604" w14:textId="77777777" w:rsidR="00FA3885" w:rsidRPr="00FA3885" w:rsidRDefault="00FA3885" w:rsidP="00FA3885">
      <w:pPr>
        <w:spacing w:after="0"/>
        <w:jc w:val="both"/>
        <w:rPr>
          <w:rFonts w:ascii="Times New Arabic" w:hAnsi="Times New Arabic" w:cs="Times New Roman"/>
          <w:b/>
          <w:bCs/>
          <w:kern w:val="2"/>
          <w:sz w:val="24"/>
          <w:szCs w:val="24"/>
          <w:lang w:eastAsia="en-US"/>
          <w14:ligatures w14:val="standardContextual"/>
        </w:rPr>
      </w:pPr>
      <w:r w:rsidRPr="00FA3885">
        <w:rPr>
          <w:rFonts w:ascii="Times New Arabic" w:hAnsi="Times New Arabic" w:cs="Times New Roman"/>
          <w:b/>
          <w:bCs/>
          <w:kern w:val="2"/>
          <w:sz w:val="24"/>
          <w:szCs w:val="24"/>
          <w:lang w:eastAsia="en-US"/>
          <w14:ligatures w14:val="standardContextual"/>
        </w:rPr>
        <w:t xml:space="preserve">Abstrak </w:t>
      </w:r>
    </w:p>
    <w:p w14:paraId="2E91AFB8" w14:textId="77777777" w:rsidR="00FA3885" w:rsidRPr="00FA3885" w:rsidRDefault="00FA3885" w:rsidP="00FA3885">
      <w:pPr>
        <w:spacing w:after="160" w:line="240" w:lineRule="auto"/>
        <w:jc w:val="both"/>
        <w:rPr>
          <w:rFonts w:ascii="Times New Arabic" w:hAnsi="Times New Arabic" w:cs="Times New Roman"/>
          <w:i/>
          <w:iCs/>
          <w:kern w:val="2"/>
          <w:sz w:val="24"/>
          <w:szCs w:val="24"/>
          <w:lang w:val="nb-NO" w:eastAsia="en-US"/>
          <w14:ligatures w14:val="standardContextual"/>
        </w:rPr>
      </w:pPr>
      <w:r w:rsidRPr="00FA3885">
        <w:rPr>
          <w:rFonts w:ascii="Times New Arabic" w:hAnsi="Times New Arabic" w:cs="Times New Roman"/>
          <w:i/>
          <w:iCs/>
          <w:kern w:val="2"/>
          <w:sz w:val="24"/>
          <w:szCs w:val="24"/>
          <w:lang w:eastAsia="en-US"/>
          <w14:ligatures w14:val="standardContextual"/>
        </w:rPr>
        <w:t xml:space="preserve">Penelitian ini mengkaji tanggapan tokoh Islam terhadap kehadiran umat Muslim dalam perayaan Bakar Tongkang di </w:t>
      </w:r>
      <w:proofErr w:type="spellStart"/>
      <w:r w:rsidRPr="00FA3885">
        <w:rPr>
          <w:rFonts w:ascii="Times New Arabic" w:hAnsi="Times New Arabic" w:cs="Times New Roman"/>
          <w:i/>
          <w:iCs/>
          <w:kern w:val="2"/>
          <w:sz w:val="24"/>
          <w:szCs w:val="24"/>
          <w:lang w:eastAsia="en-US"/>
          <w14:ligatures w14:val="standardContextual"/>
        </w:rPr>
        <w:t>Bagansiapiapi</w:t>
      </w:r>
      <w:proofErr w:type="spellEnd"/>
      <w:r w:rsidRPr="00FA3885">
        <w:rPr>
          <w:rFonts w:ascii="Times New Arabic" w:hAnsi="Times New Arabic" w:cs="Times New Roman"/>
          <w:i/>
          <w:iCs/>
          <w:kern w:val="2"/>
          <w:sz w:val="24"/>
          <w:szCs w:val="24"/>
          <w:lang w:eastAsia="en-US"/>
          <w14:ligatures w14:val="standardContextual"/>
        </w:rPr>
        <w:t xml:space="preserve">, Rokan Hilir, Riau, dengan fokus pada implikasi sosial dan teologisnya. </w:t>
      </w:r>
      <w:proofErr w:type="spellStart"/>
      <w:r w:rsidRPr="00FA3885">
        <w:rPr>
          <w:rFonts w:ascii="Times New Arabic" w:hAnsi="Times New Arabic" w:cs="Times New Roman"/>
          <w:i/>
          <w:iCs/>
          <w:kern w:val="2"/>
          <w:sz w:val="24"/>
          <w:szCs w:val="24"/>
          <w:lang w:val="sv-SE" w:eastAsia="en-US"/>
          <w14:ligatures w14:val="standardContextual"/>
        </w:rPr>
        <w:t>Tradisi</w:t>
      </w:r>
      <w:proofErr w:type="spellEnd"/>
      <w:r w:rsidRPr="00FA3885">
        <w:rPr>
          <w:rFonts w:ascii="Times New Arabic" w:hAnsi="Times New Arabic" w:cs="Times New Roman"/>
          <w:i/>
          <w:iCs/>
          <w:kern w:val="2"/>
          <w:sz w:val="24"/>
          <w:szCs w:val="24"/>
          <w:lang w:val="sv-SE" w:eastAsia="en-US"/>
          <w14:ligatures w14:val="standardContextual"/>
        </w:rPr>
        <w:t xml:space="preserve"> ini, yang </w:t>
      </w:r>
      <w:proofErr w:type="spellStart"/>
      <w:r w:rsidRPr="00FA3885">
        <w:rPr>
          <w:rFonts w:ascii="Times New Arabic" w:hAnsi="Times New Arabic" w:cs="Times New Roman"/>
          <w:i/>
          <w:iCs/>
          <w:kern w:val="2"/>
          <w:sz w:val="24"/>
          <w:szCs w:val="24"/>
          <w:lang w:val="sv-SE" w:eastAsia="en-US"/>
          <w14:ligatures w14:val="standardContextual"/>
        </w:rPr>
        <w:t>berasal</w:t>
      </w:r>
      <w:proofErr w:type="spellEnd"/>
      <w:r w:rsidRPr="00FA3885">
        <w:rPr>
          <w:rFonts w:ascii="Times New Arabic" w:hAnsi="Times New Arabic" w:cs="Times New Roman"/>
          <w:i/>
          <w:iCs/>
          <w:kern w:val="2"/>
          <w:sz w:val="24"/>
          <w:szCs w:val="24"/>
          <w:lang w:val="sv-SE" w:eastAsia="en-US"/>
          <w14:ligatures w14:val="standardContextual"/>
        </w:rPr>
        <w:t xml:space="preserve"> dari </w:t>
      </w:r>
      <w:proofErr w:type="spellStart"/>
      <w:r w:rsidRPr="00FA3885">
        <w:rPr>
          <w:rFonts w:ascii="Times New Arabic" w:hAnsi="Times New Arabic" w:cs="Times New Roman"/>
          <w:i/>
          <w:iCs/>
          <w:kern w:val="2"/>
          <w:sz w:val="24"/>
          <w:szCs w:val="24"/>
          <w:lang w:val="sv-SE" w:eastAsia="en-US"/>
          <w14:ligatures w14:val="standardContextual"/>
        </w:rPr>
        <w:t>etnis</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Tionghoa</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mengandung</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simbolisme</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keagamaan</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sehingga</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memunculkan</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perdebatan</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mengenai</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batas</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partisipasi</w:t>
      </w:r>
      <w:proofErr w:type="spellEnd"/>
      <w:r w:rsidRPr="00FA3885">
        <w:rPr>
          <w:rFonts w:ascii="Times New Arabic" w:hAnsi="Times New Arabic" w:cs="Times New Roman"/>
          <w:i/>
          <w:iCs/>
          <w:kern w:val="2"/>
          <w:sz w:val="24"/>
          <w:szCs w:val="24"/>
          <w:lang w:val="sv-SE" w:eastAsia="en-US"/>
          <w14:ligatures w14:val="standardContextual"/>
        </w:rPr>
        <w:t xml:space="preserve"> yang </w:t>
      </w:r>
      <w:proofErr w:type="spellStart"/>
      <w:r w:rsidRPr="00FA3885">
        <w:rPr>
          <w:rFonts w:ascii="Times New Arabic" w:hAnsi="Times New Arabic" w:cs="Times New Roman"/>
          <w:i/>
          <w:iCs/>
          <w:kern w:val="2"/>
          <w:sz w:val="24"/>
          <w:szCs w:val="24"/>
          <w:lang w:val="sv-SE" w:eastAsia="en-US"/>
          <w14:ligatures w14:val="standardContextual"/>
        </w:rPr>
        <w:t>sesuai</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dengan</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prinsip</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tasyabbuh</w:t>
      </w:r>
      <w:proofErr w:type="spellEnd"/>
      <w:r w:rsidRPr="00FA3885">
        <w:rPr>
          <w:rFonts w:ascii="Times New Arabic" w:hAnsi="Times New Arabic" w:cs="Times New Roman"/>
          <w:i/>
          <w:iCs/>
          <w:kern w:val="2"/>
          <w:sz w:val="24"/>
          <w:szCs w:val="24"/>
          <w:lang w:val="sv-SE" w:eastAsia="en-US"/>
          <w14:ligatures w14:val="standardContextual"/>
        </w:rPr>
        <w:t xml:space="preserve">. </w:t>
      </w:r>
      <w:r w:rsidRPr="00FA3885">
        <w:rPr>
          <w:rFonts w:ascii="Times New Arabic" w:hAnsi="Times New Arabic" w:cs="Times New Roman"/>
          <w:i/>
          <w:iCs/>
          <w:kern w:val="2"/>
          <w:sz w:val="24"/>
          <w:szCs w:val="24"/>
          <w:lang w:val="nb-NO" w:eastAsia="en-US"/>
          <w14:ligatures w14:val="standardContextual"/>
        </w:rPr>
        <w:t xml:space="preserve">Tujuan penelitian adalah menggali pandangan tokoh agama, menganalisis konsekuensi sosial-teologis, dan merumuskan alternatif pendekatan moderasi beragama di masyarakat multikultural. Metode penelitian yang digunakan adalah kualitatif dengan studi kasus. Data primer diperoleh melalui wawancara mendalam dengan </w:t>
      </w:r>
      <w:r w:rsidRPr="00FA3885">
        <w:rPr>
          <w:rFonts w:ascii="Times New Arabic" w:hAnsi="Times New Arabic" w:cs="Times New Roman"/>
          <w:i/>
          <w:iCs/>
          <w:kern w:val="2"/>
          <w:sz w:val="24"/>
          <w:szCs w:val="24"/>
          <w:lang w:val="nb-NO" w:eastAsia="en-US"/>
          <w14:ligatures w14:val="standardContextual"/>
        </w:rPr>
        <w:lastRenderedPageBreak/>
        <w:t>Ketua MUI Rohil, perwakilan Kemenag Provinsi Riau, dan ulama lokal, serta observasi langsung prosesi Bakar Tongkang. Data sekunder meliputi literatur hadis klasik dan kontemporer, kajian moderasi beragama, dan studi etnografi. Analisis menggunakan model Miles &amp; Huberman dengan triangulasi sumber dan metode untuk menjamin validitas. Hasil menunjukkan bahwa MUI melarang Muslim menjadi “pemain” dalam ritual inti, namun membolehkan sebagai “penonton” demi kerukunan. Kemenag menitikberatkan moderasi beragama, sedangkan ulama lokal menekankan penghormatan tanpa partisipasi. Penelitian merekomendasikan narasi “menghargai tidak harus menghadiri” serta penguatan peran institusi, pendidikan berbasis maqashid syariah, dan mediasi budaya inklusif untuk menjaga iman dan toleransi.</w:t>
      </w:r>
    </w:p>
    <w:p w14:paraId="260EFEA3" w14:textId="77777777" w:rsidR="00FA3885" w:rsidRPr="00FA3885" w:rsidRDefault="00FA3885" w:rsidP="00FA3885">
      <w:pPr>
        <w:spacing w:after="160"/>
        <w:jc w:val="both"/>
        <w:rPr>
          <w:rFonts w:ascii="Times New Arabic" w:hAnsi="Times New Arabic" w:cs="Times New Roman"/>
          <w:i/>
          <w:iCs/>
          <w:kern w:val="2"/>
          <w:sz w:val="24"/>
          <w:szCs w:val="24"/>
          <w:lang w:val="nb-NO" w:eastAsia="en-US"/>
          <w14:ligatures w14:val="standardContextual"/>
        </w:rPr>
      </w:pPr>
      <w:r w:rsidRPr="00FA3885">
        <w:rPr>
          <w:rFonts w:ascii="Times New Arabic" w:hAnsi="Times New Arabic" w:cs="Times New Roman"/>
          <w:b/>
          <w:bCs/>
          <w:kern w:val="2"/>
          <w:sz w:val="24"/>
          <w:szCs w:val="24"/>
          <w:lang w:val="nb-NO" w:eastAsia="en-US"/>
          <w14:ligatures w14:val="standardContextual"/>
        </w:rPr>
        <w:t>Kata Kunci:</w:t>
      </w:r>
      <w:r w:rsidRPr="00FA3885">
        <w:rPr>
          <w:rFonts w:ascii="Times New Arabic" w:hAnsi="Times New Arabic"/>
          <w:kern w:val="2"/>
          <w:sz w:val="24"/>
          <w:szCs w:val="24"/>
          <w:lang w:val="nb-NO" w:eastAsia="en-US"/>
          <w14:ligatures w14:val="standardContextual"/>
        </w:rPr>
        <w:t xml:space="preserve"> </w:t>
      </w:r>
      <w:r w:rsidRPr="00FA3885">
        <w:rPr>
          <w:rFonts w:ascii="Times New Arabic" w:hAnsi="Times New Arabic" w:cs="Times New Roman"/>
          <w:i/>
          <w:iCs/>
          <w:kern w:val="2"/>
          <w:sz w:val="24"/>
          <w:szCs w:val="24"/>
          <w:lang w:val="nb-NO" w:eastAsia="en-US"/>
          <w14:ligatures w14:val="standardContextual"/>
        </w:rPr>
        <w:t>Hadis,</w:t>
      </w:r>
      <w:r w:rsidRPr="00FA3885">
        <w:rPr>
          <w:rFonts w:ascii="Times New Arabic" w:hAnsi="Times New Arabic"/>
          <w:i/>
          <w:iCs/>
          <w:kern w:val="2"/>
          <w:sz w:val="24"/>
          <w:szCs w:val="24"/>
          <w:lang w:val="nb-NO" w:eastAsia="en-US"/>
          <w14:ligatures w14:val="standardContextual"/>
        </w:rPr>
        <w:t xml:space="preserve"> </w:t>
      </w:r>
      <w:r w:rsidRPr="00FA3885">
        <w:rPr>
          <w:rFonts w:ascii="Times New Arabic" w:hAnsi="Times New Arabic" w:cs="Times New Roman"/>
          <w:i/>
          <w:iCs/>
          <w:kern w:val="2"/>
          <w:sz w:val="24"/>
          <w:szCs w:val="24"/>
          <w:lang w:val="nb-NO" w:eastAsia="en-US"/>
          <w14:ligatures w14:val="standardContextual"/>
        </w:rPr>
        <w:t>Tasyabbuh, Tokoh islam, Perayaan, Bakar Tongkang.</w:t>
      </w:r>
    </w:p>
    <w:p w14:paraId="284B700F" w14:textId="77777777" w:rsidR="00FA3885" w:rsidRPr="00FA3885" w:rsidRDefault="00FA3885" w:rsidP="00FA3885">
      <w:pPr>
        <w:spacing w:after="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b/>
          <w:bCs/>
          <w:kern w:val="2"/>
          <w:sz w:val="24"/>
          <w:szCs w:val="24"/>
          <w:lang w:val="nb-NO" w:eastAsia="en-US"/>
          <w14:ligatures w14:val="standardContextual"/>
        </w:rPr>
        <w:t>Pendahuluan</w:t>
      </w:r>
    </w:p>
    <w:p w14:paraId="7116B5CE"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Islam adalah agama yang mengatur seluruh aspek kehidupan manusia, termasuk dalam hal interaksi sosial dengan pemeluk agama lain. Di tengah masyarakat Indonesia yang majemuk, interaksi antara umat Islam dengan pemeluk agama lain sangat sering terjadi, termasuk dalam hal menghadiri perayaan-perayaan keagamaan non-Muslim seperti Natal, Imlek, Waisak, atau Bakar Tongkang. Fenomena ini tidak jarang menimbulkan polemik, terutama ketika sebagian umat Islam menghadiri acara-acara tersebut dengan dalih toleransi atau relasi sosial. Di sisi lain, dalam ajaran Islam terdapat prinsip tasyabbuh, yaitu larangan menyerupai umat agama lain dalam hal keyakinan dan ibadah, sebagaimana tercermin dalam hadis Nabi Muhammad SAW: "Man tasyabbaha bi qawmin fahuwa minhum". Larangan ini menegaskan pentingnya identitas keagamaan yang jelas dalam bingkai akidah.</w:t>
      </w:r>
      <w:r w:rsidRPr="00FA3885">
        <w:rPr>
          <w:rFonts w:ascii="Times New Arabic" w:hAnsi="Times New Arabic" w:cs="Times New Roman"/>
          <w:kern w:val="2"/>
          <w:sz w:val="24"/>
          <w:szCs w:val="24"/>
          <w:vertAlign w:val="superscript"/>
          <w:lang w:val="nb-NO" w:eastAsia="en-US"/>
          <w14:ligatures w14:val="standardContextual"/>
        </w:rPr>
        <w:footnoteReference w:id="1"/>
      </w:r>
    </w:p>
    <w:p w14:paraId="0F498F2F" w14:textId="2AC20E4E"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Konsep tasyabbuh terus berkembang dalam diskursus keislaman kontemporer, terutama dalam konteks masyarakat pluralistik. Sejumlah penelitian terkini, seperti yang dilakukan oleh Rahman</w:t>
      </w:r>
      <w:r w:rsidRPr="00FA3885">
        <w:rPr>
          <w:rFonts w:ascii="Times New Arabic" w:hAnsi="Times New Arabic" w:cs="Times New Roman"/>
          <w:kern w:val="2"/>
          <w:sz w:val="24"/>
          <w:szCs w:val="24"/>
          <w:vertAlign w:val="superscript"/>
          <w:lang w:val="nb-NO" w:eastAsia="en-US"/>
          <w14:ligatures w14:val="standardContextual"/>
        </w:rPr>
        <w:footnoteReference w:id="2"/>
      </w:r>
      <w:r w:rsidRPr="00FA3885">
        <w:rPr>
          <w:rFonts w:ascii="Times New Arabic" w:hAnsi="Times New Arabic" w:cs="Times New Roman"/>
          <w:kern w:val="2"/>
          <w:sz w:val="24"/>
          <w:szCs w:val="24"/>
          <w:lang w:val="nb-NO" w:eastAsia="en-US"/>
          <w14:ligatures w14:val="standardContextual"/>
        </w:rPr>
        <w:t xml:space="preserve"> menunjukkan bahwa fatwa MUI mengenai salam lintas agama telah memicu diskusi baru tentang batas-batas tasyabbuh dalam kehidupan sosial. Saragih dan Abdurrahman juga menyoroti implikasi etis dari tasyabbuh dalam konteks identitas gender. Sementara itu, dalam ranah multikulturalisme,</w:t>
      </w:r>
      <w:r w:rsidRPr="00FA3885">
        <w:rPr>
          <w:rFonts w:ascii="Times New Arabic" w:hAnsi="Times New Arabic" w:cs="Times New Roman"/>
          <w:kern w:val="2"/>
          <w:sz w:val="24"/>
          <w:szCs w:val="24"/>
          <w:vertAlign w:val="superscript"/>
          <w:lang w:val="nb-NO" w:eastAsia="en-US"/>
          <w14:ligatures w14:val="standardContextual"/>
        </w:rPr>
        <w:footnoteReference w:id="3"/>
      </w:r>
      <w:r w:rsidRPr="00FA3885">
        <w:rPr>
          <w:rFonts w:ascii="Times New Arabic" w:hAnsi="Times New Arabic" w:cs="Times New Roman"/>
          <w:kern w:val="2"/>
          <w:sz w:val="24"/>
          <w:szCs w:val="24"/>
          <w:lang w:val="nb-NO" w:eastAsia="en-US"/>
          <w14:ligatures w14:val="standardContextual"/>
        </w:rPr>
        <w:t xml:space="preserve"> pendekatan seperti yang dikemukakan Fathony et al.</w:t>
      </w:r>
      <w:r w:rsidRPr="00FA3885">
        <w:rPr>
          <w:rFonts w:ascii="Times New Arabic" w:hAnsi="Times New Arabic" w:cs="Times New Roman"/>
          <w:kern w:val="2"/>
          <w:sz w:val="24"/>
          <w:szCs w:val="24"/>
          <w:vertAlign w:val="superscript"/>
          <w:lang w:val="nb-NO" w:eastAsia="en-US"/>
          <w14:ligatures w14:val="standardContextual"/>
        </w:rPr>
        <w:footnoteReference w:id="4"/>
      </w:r>
      <w:r w:rsidRPr="00FA3885">
        <w:rPr>
          <w:rFonts w:ascii="Times New Arabic" w:hAnsi="Times New Arabic" w:cs="Times New Roman"/>
          <w:kern w:val="2"/>
          <w:sz w:val="24"/>
          <w:szCs w:val="24"/>
          <w:lang w:val="nb-NO" w:eastAsia="en-US"/>
          <w14:ligatures w14:val="standardContextual"/>
        </w:rPr>
        <w:t xml:space="preserve"> dan Panuntun &amp; Aziz memperlihatkan bahwa Islam juga mengajarkan toleransi dan kerja sama lintas iman, sebagaimana terlihat dalam perayaan Ramadan dan pendidikan multikultural.</w:t>
      </w:r>
      <w:r w:rsidRPr="00FA3885">
        <w:rPr>
          <w:rFonts w:ascii="Times New Arabic" w:hAnsi="Times New Arabic" w:cs="Times New Roman"/>
          <w:kern w:val="2"/>
          <w:sz w:val="24"/>
          <w:szCs w:val="24"/>
          <w:vertAlign w:val="superscript"/>
          <w:lang w:val="nb-NO" w:eastAsia="en-US"/>
          <w14:ligatures w14:val="standardContextual"/>
        </w:rPr>
        <w:footnoteReference w:id="5"/>
      </w:r>
      <w:r w:rsidRPr="00FA3885">
        <w:rPr>
          <w:rFonts w:ascii="Times New Arabic" w:hAnsi="Times New Arabic" w:cs="Times New Roman"/>
          <w:kern w:val="2"/>
          <w:sz w:val="24"/>
          <w:szCs w:val="24"/>
          <w:lang w:val="nb-NO" w:eastAsia="en-US"/>
          <w14:ligatures w14:val="standardContextual"/>
        </w:rPr>
        <w:t xml:space="preserve"> Marbun menambahkan bahwa hadis dapat menjadi fondasi harmoni sosial dalam masyarakat majemuk.</w:t>
      </w:r>
      <w:r w:rsidRPr="00FA3885">
        <w:rPr>
          <w:rFonts w:ascii="Times New Arabic" w:hAnsi="Times New Arabic" w:cs="Times New Roman"/>
          <w:kern w:val="2"/>
          <w:sz w:val="24"/>
          <w:szCs w:val="24"/>
          <w:vertAlign w:val="superscript"/>
          <w:lang w:val="nb-NO" w:eastAsia="en-US"/>
          <w14:ligatures w14:val="standardContextual"/>
        </w:rPr>
        <w:footnoteReference w:id="6"/>
      </w:r>
    </w:p>
    <w:p w14:paraId="1406AE8E"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lastRenderedPageBreak/>
        <w:t>Meskipun larangan tasyabbuh telah menjadi bagian dari khazanah diskursus keislaman sejak era klasik, penerapannya dalam konteks budaya lokal dan masyarakat multikultural modern masih menimbulkan perdebatan. Kehadiran umat Islam dalam perayaan non-Muslim. Muncul pertanyaan krusial: apakah kehadiran tersebut merupakan manifestasi tasyabbuh yang dilarang dalam syariat, ataukah hanya ekspresi sosial-budaya yang mencerminkan toleransi antarumat beragama? Fenomena ini belum banyak dikaji secara komprehensif melalui pendekatan linguistik terhadap teks-teks hadis dan realitas empiris masyarakat lokal, sehingga memerlukan telaah ilmiah yang lebih mendalam dan kontekstual.</w:t>
      </w:r>
    </w:p>
    <w:p w14:paraId="5F634511"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Solusi umum yang ditawarkan dalam literatur adalah perlunya pendekatan kontekstual dalam memahami hadis tasyabbuh. Komaruddin Hidayat dalam </w:t>
      </w:r>
      <w:r w:rsidRPr="00FA3885">
        <w:rPr>
          <w:rFonts w:ascii="Times New Arabic" w:hAnsi="Times New Arabic" w:cs="Times New Roman"/>
          <w:i/>
          <w:iCs/>
          <w:kern w:val="2"/>
          <w:sz w:val="24"/>
          <w:szCs w:val="24"/>
          <w:lang w:val="nb-NO" w:eastAsia="en-US"/>
          <w14:ligatures w14:val="standardContextual"/>
        </w:rPr>
        <w:t>Islam Agama Kemanusiaan</w:t>
      </w:r>
      <w:r w:rsidRPr="00FA3885">
        <w:rPr>
          <w:rFonts w:ascii="Times New Arabic" w:hAnsi="Times New Arabic" w:cs="Times New Roman"/>
          <w:kern w:val="2"/>
          <w:sz w:val="24"/>
          <w:szCs w:val="24"/>
          <w:lang w:val="nb-NO" w:eastAsia="en-US"/>
          <w14:ligatures w14:val="standardContextual"/>
        </w:rPr>
        <w:t xml:space="preserve"> menekankan pentingnya membedakan antara aspek teologis dan aspek sosial dalam praktik keagamaan. Dalam konteks inilah, pendekatan fiqh prioritas seperti yang dikemukakan oleh Yusuf al-Qaradawi (</w:t>
      </w:r>
      <w:r w:rsidRPr="00FA3885">
        <w:rPr>
          <w:rFonts w:ascii="Times New Arabic" w:hAnsi="Times New Arabic" w:cs="Times New Roman"/>
          <w:i/>
          <w:iCs/>
          <w:kern w:val="2"/>
          <w:sz w:val="24"/>
          <w:szCs w:val="24"/>
          <w:lang w:val="nb-NO" w:eastAsia="en-US"/>
          <w14:ligatures w14:val="standardContextual"/>
        </w:rPr>
        <w:t>Fiqh al-Awlawiyy</w:t>
      </w:r>
      <w:r w:rsidRPr="00FA3885">
        <w:rPr>
          <w:rFonts w:ascii="Cambria" w:hAnsi="Cambria" w:cs="Cambria"/>
          <w:i/>
          <w:iCs/>
          <w:kern w:val="2"/>
          <w:sz w:val="24"/>
          <w:szCs w:val="24"/>
          <w:lang w:val="nb-NO" w:eastAsia="en-US"/>
          <w14:ligatures w14:val="standardContextual"/>
        </w:rPr>
        <w:t>ā</w:t>
      </w:r>
      <w:r w:rsidRPr="00FA3885">
        <w:rPr>
          <w:rFonts w:ascii="Times New Arabic" w:hAnsi="Times New Arabic" w:cs="Times New Roman"/>
          <w:i/>
          <w:iCs/>
          <w:kern w:val="2"/>
          <w:sz w:val="24"/>
          <w:szCs w:val="24"/>
          <w:lang w:val="nb-NO" w:eastAsia="en-US"/>
          <w14:ligatures w14:val="standardContextual"/>
        </w:rPr>
        <w:t>t</w:t>
      </w:r>
      <w:r w:rsidRPr="00FA3885">
        <w:rPr>
          <w:rFonts w:ascii="Times New Arabic" w:hAnsi="Times New Arabic" w:cs="Times New Roman"/>
          <w:kern w:val="2"/>
          <w:sz w:val="24"/>
          <w:szCs w:val="24"/>
          <w:lang w:val="nb-NO" w:eastAsia="en-US"/>
          <w14:ligatures w14:val="standardContextual"/>
        </w:rPr>
        <w:t>) menjadi relevan, yakni mendahulukan kemaslahatan sosial tanpa mengorbankan prinsip-prinsip dasar akidah Islam.</w:t>
      </w:r>
      <w:r w:rsidRPr="00FA3885">
        <w:rPr>
          <w:rFonts w:ascii="Times New Arabic" w:hAnsi="Times New Arabic" w:cs="Times New Roman"/>
          <w:kern w:val="2"/>
          <w:sz w:val="24"/>
          <w:szCs w:val="24"/>
          <w:vertAlign w:val="superscript"/>
          <w:lang w:val="nb-NO" w:eastAsia="en-US"/>
          <w14:ligatures w14:val="standardContextual"/>
        </w:rPr>
        <w:footnoteReference w:id="7"/>
      </w:r>
    </w:p>
    <w:p w14:paraId="7E5D81F3"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Kajian etnografi dan antropologi atas kehadiran umat islam ke perayaam non muslim telah dilakukan oleh Syamsul Maarif, yang melihat tradisi ini sebagai ekspresi budaya komunitas Tionghoa yang berakar pada kepercayaan leluhur. Namun, tidak banyak yang mengaitkannya dengan perspektif Islam, khususnya melalui pendekatan hadis.</w:t>
      </w:r>
      <w:r w:rsidRPr="00FA3885">
        <w:rPr>
          <w:rFonts w:ascii="Times New Arabic" w:hAnsi="Times New Arabic" w:cs="Times New Roman"/>
          <w:kern w:val="2"/>
          <w:sz w:val="24"/>
          <w:szCs w:val="24"/>
          <w:vertAlign w:val="superscript"/>
          <w:lang w:val="nb-NO" w:eastAsia="en-US"/>
          <w14:ligatures w14:val="standardContextual"/>
        </w:rPr>
        <w:footnoteReference w:id="8"/>
      </w:r>
      <w:r w:rsidRPr="00FA3885">
        <w:rPr>
          <w:rFonts w:ascii="Times New Arabic" w:hAnsi="Times New Arabic" w:cs="Times New Roman"/>
          <w:kern w:val="2"/>
          <w:sz w:val="24"/>
          <w:szCs w:val="24"/>
          <w:lang w:val="nb-NO" w:eastAsia="en-US"/>
          <w14:ligatures w14:val="standardContextual"/>
        </w:rPr>
        <w:t xml:space="preserve"> Oleh karena itu, pendekatan yang menggabungkan analisis tekstual hadis dengan observasi partisipatif dan wawancara mendalam menjadi krusial untuk menggali makna sosial dan keagamaan dari perayaan tersebut.</w:t>
      </w:r>
    </w:p>
    <w:p w14:paraId="644F533E"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Penelitian dari Syaripudin dan Nurjanah juga dapat dijadikan referensi dalam memahami dinamika sosial-keagamaan.</w:t>
      </w:r>
      <w:r w:rsidRPr="00FA3885">
        <w:rPr>
          <w:rFonts w:ascii="Times New Arabic" w:hAnsi="Times New Arabic" w:cs="Times New Roman"/>
          <w:kern w:val="2"/>
          <w:sz w:val="24"/>
          <w:szCs w:val="24"/>
          <w:vertAlign w:val="superscript"/>
          <w:lang w:val="nb-NO" w:eastAsia="en-US"/>
          <w14:ligatures w14:val="standardContextual"/>
        </w:rPr>
        <w:footnoteReference w:id="9"/>
      </w:r>
      <w:r w:rsidRPr="00FA3885">
        <w:rPr>
          <w:rFonts w:ascii="Times New Arabic" w:hAnsi="Times New Arabic" w:cs="Times New Roman"/>
          <w:kern w:val="2"/>
          <w:sz w:val="24"/>
          <w:szCs w:val="24"/>
          <w:lang w:val="nb-NO" w:eastAsia="en-US"/>
          <w14:ligatures w14:val="standardContextual"/>
        </w:rPr>
        <w:t xml:space="preserve"> Mereka menunjukkan bagaimana perilaku sosial yang menyentuh norma-norma agama harus dikaji secara kontekstual, dengan mempertimbangkan sensitivitas komunitas setempat. Pendekatan ini relevan dalam membaca fenomena partisipasi umat Islam dalam perayaan Bakar Tongkang, di mana kehadiran bisa saja dimaknai sebagai solidaritas budaya atau justru sebagai pelanggaran prinsip teologis.</w:t>
      </w:r>
    </w:p>
    <w:p w14:paraId="5239570D"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Lebih lanjut, diskursus toleransi antarumat beragama yang dikaji oleh Fadliah,</w:t>
      </w:r>
      <w:r w:rsidRPr="00FA3885">
        <w:rPr>
          <w:rFonts w:ascii="Times New Arabic" w:hAnsi="Times New Arabic" w:cs="Times New Roman"/>
          <w:kern w:val="2"/>
          <w:sz w:val="24"/>
          <w:szCs w:val="24"/>
          <w:vertAlign w:val="superscript"/>
          <w:lang w:val="nb-NO" w:eastAsia="en-US"/>
          <w14:ligatures w14:val="standardContextual"/>
        </w:rPr>
        <w:footnoteReference w:id="10"/>
      </w:r>
      <w:r w:rsidRPr="00FA3885">
        <w:rPr>
          <w:rFonts w:ascii="Times New Arabic" w:hAnsi="Times New Arabic" w:cs="Times New Roman"/>
          <w:kern w:val="2"/>
          <w:sz w:val="24"/>
          <w:szCs w:val="24"/>
          <w:lang w:val="nb-NO" w:eastAsia="en-US"/>
          <w14:ligatures w14:val="standardContextual"/>
        </w:rPr>
        <w:t xml:space="preserve"> Yanti et al.,</w:t>
      </w:r>
      <w:r w:rsidRPr="00FA3885">
        <w:rPr>
          <w:rFonts w:ascii="Times New Arabic" w:hAnsi="Times New Arabic" w:cs="Times New Roman"/>
          <w:kern w:val="2"/>
          <w:sz w:val="24"/>
          <w:szCs w:val="24"/>
          <w:vertAlign w:val="superscript"/>
          <w:lang w:val="nb-NO" w:eastAsia="en-US"/>
          <w14:ligatures w14:val="standardContextual"/>
        </w:rPr>
        <w:footnoteReference w:id="11"/>
      </w:r>
      <w:r w:rsidRPr="00FA3885">
        <w:rPr>
          <w:rFonts w:ascii="Times New Arabic" w:hAnsi="Times New Arabic" w:cs="Times New Roman"/>
          <w:kern w:val="2"/>
          <w:sz w:val="24"/>
          <w:szCs w:val="24"/>
          <w:lang w:val="nb-NO" w:eastAsia="en-US"/>
          <w14:ligatures w14:val="standardContextual"/>
        </w:rPr>
        <w:t xml:space="preserve"> dan Afriani et al.</w:t>
      </w:r>
      <w:r w:rsidRPr="00FA3885">
        <w:rPr>
          <w:rFonts w:ascii="Times New Arabic" w:hAnsi="Times New Arabic" w:cs="Times New Roman"/>
          <w:kern w:val="2"/>
          <w:sz w:val="24"/>
          <w:szCs w:val="24"/>
          <w:vertAlign w:val="superscript"/>
          <w:lang w:val="nb-NO" w:eastAsia="en-US"/>
          <w14:ligatures w14:val="standardContextual"/>
        </w:rPr>
        <w:footnoteReference w:id="12"/>
      </w:r>
      <w:r w:rsidRPr="00FA3885">
        <w:rPr>
          <w:rFonts w:ascii="Times New Arabic" w:hAnsi="Times New Arabic" w:cs="Times New Roman"/>
          <w:kern w:val="2"/>
          <w:sz w:val="24"/>
          <w:szCs w:val="24"/>
          <w:lang w:val="nb-NO" w:eastAsia="en-US"/>
          <w14:ligatures w14:val="standardContextual"/>
        </w:rPr>
        <w:t xml:space="preserve">  memperkuat pentingnya memahami praktik-praktik sosial dalam kerangka Islam yang rahmatan lil ‘alamin. Toleransi bukanlah pembenaran teologis </w:t>
      </w:r>
      <w:r w:rsidRPr="00FA3885">
        <w:rPr>
          <w:rFonts w:ascii="Times New Arabic" w:hAnsi="Times New Arabic" w:cs="Times New Roman"/>
          <w:kern w:val="2"/>
          <w:sz w:val="24"/>
          <w:szCs w:val="24"/>
          <w:lang w:val="nb-NO" w:eastAsia="en-US"/>
          <w14:ligatures w14:val="standardContextual"/>
        </w:rPr>
        <w:lastRenderedPageBreak/>
        <w:t>terhadap praktik agama lain, melainkan bentuk penghargaan terhadap keberagaman yang tidak mengorbankan keyakinan. Dalam konteks ini, peran institusi keagamaan dan tokoh masyarakat sebagaimana ditunjukkan oleh Salim &amp; Andani,</w:t>
      </w:r>
      <w:r w:rsidRPr="00FA3885">
        <w:rPr>
          <w:rFonts w:ascii="Times New Arabic" w:hAnsi="Times New Arabic" w:cs="Times New Roman"/>
          <w:kern w:val="2"/>
          <w:sz w:val="24"/>
          <w:szCs w:val="24"/>
          <w:vertAlign w:val="superscript"/>
          <w:lang w:val="nb-NO" w:eastAsia="en-US"/>
          <w14:ligatures w14:val="standardContextual"/>
        </w:rPr>
        <w:footnoteReference w:id="13"/>
      </w:r>
      <w:r w:rsidRPr="00FA3885">
        <w:rPr>
          <w:rFonts w:ascii="Times New Arabic" w:hAnsi="Times New Arabic" w:cs="Times New Roman"/>
          <w:kern w:val="2"/>
          <w:sz w:val="24"/>
          <w:szCs w:val="24"/>
          <w:lang w:val="nb-NO" w:eastAsia="en-US"/>
          <w14:ligatures w14:val="standardContextual"/>
        </w:rPr>
        <w:t xml:space="preserve"> serta Effendi, menjadi sangat penting untuk memberikan bimbingan kepada umat.</w:t>
      </w:r>
      <w:r w:rsidRPr="00FA3885">
        <w:rPr>
          <w:rFonts w:ascii="Times New Arabic" w:hAnsi="Times New Arabic" w:cs="Times New Roman"/>
          <w:kern w:val="2"/>
          <w:sz w:val="24"/>
          <w:szCs w:val="24"/>
          <w:vertAlign w:val="superscript"/>
          <w:lang w:val="nb-NO" w:eastAsia="en-US"/>
          <w14:ligatures w14:val="standardContextual"/>
        </w:rPr>
        <w:footnoteReference w:id="14"/>
      </w:r>
    </w:p>
    <w:p w14:paraId="7CCD6C47"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Kajian sebelumnya belum banyak menggali persepsi umat Islam terhadap tasyabbuh dalam kerangka kehidupan sosial multikultural di Indonesia. Padahal, dalam masyarakat yang sangat plural seperti Indonesia, pemahaman yang kontekstual terhadap hadis sangat dibutuhkan. Penelitian yang tersedia cenderung mengulas tasyabbuh dari sisi teologis normatif tanpa menyentuh dinamika sosial di akar rumput. </w:t>
      </w:r>
    </w:p>
    <w:p w14:paraId="6FBFE8D6"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Penelitian ini bertujuan untuk: (1) memberikan pemahaman  terhadap hadis tasyabbuh; (2) menilai tanggapan tokoh islam terhadap partisipasi atau kehadiran dalam perayaan tersebut; dan (3) menyusun batasan toleransi yang berpijak pada nilai akidah dan semangat hidup berdampingan. Hipotesis yang diajukan adalah bahwa sebagian umat Islam memandang kehadiran dalam perayaan tersebut sebagai bentuk tasyabbuh yang bertentangan dengan akidah, meskipun ada kesadaran untuk menjaga harmoni sosial.</w:t>
      </w:r>
    </w:p>
    <w:p w14:paraId="30543C20"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Pemahaman hadis menjadi sangat penting untuk menelusuri akar makna kata-kata dalam hadis tersebut, seperti kata </w:t>
      </w:r>
      <w:r w:rsidRPr="00FA3885">
        <w:rPr>
          <w:rFonts w:ascii="Times New Arabic" w:hAnsi="Times New Arabic" w:cs="Times New Roman"/>
          <w:i/>
          <w:iCs/>
          <w:kern w:val="2"/>
          <w:sz w:val="24"/>
          <w:szCs w:val="24"/>
          <w:lang w:val="nb-NO" w:eastAsia="en-US"/>
          <w14:ligatures w14:val="standardContextual"/>
        </w:rPr>
        <w:t>tasyabbuh</w:t>
      </w:r>
      <w:r w:rsidRPr="00FA3885">
        <w:rPr>
          <w:rFonts w:ascii="Times New Arabic" w:hAnsi="Times New Arabic" w:cs="Times New Roman"/>
          <w:kern w:val="2"/>
          <w:sz w:val="24"/>
          <w:szCs w:val="24"/>
          <w:lang w:val="nb-NO" w:eastAsia="en-US"/>
          <w14:ligatures w14:val="standardContextual"/>
        </w:rPr>
        <w:t xml:space="preserve">, </w:t>
      </w:r>
      <w:r w:rsidRPr="00FA3885">
        <w:rPr>
          <w:rFonts w:ascii="Times New Arabic" w:hAnsi="Times New Arabic" w:cs="Times New Roman"/>
          <w:i/>
          <w:iCs/>
          <w:kern w:val="2"/>
          <w:sz w:val="24"/>
          <w:szCs w:val="24"/>
          <w:lang w:val="nb-NO" w:eastAsia="en-US"/>
          <w14:ligatures w14:val="standardContextual"/>
        </w:rPr>
        <w:t>qawm</w:t>
      </w:r>
      <w:r w:rsidRPr="00FA3885">
        <w:rPr>
          <w:rFonts w:ascii="Times New Arabic" w:hAnsi="Times New Arabic" w:cs="Times New Roman"/>
          <w:kern w:val="2"/>
          <w:sz w:val="24"/>
          <w:szCs w:val="24"/>
          <w:lang w:val="nb-NO" w:eastAsia="en-US"/>
          <w14:ligatures w14:val="standardContextual"/>
        </w:rPr>
        <w:t xml:space="preserve">, dan </w:t>
      </w:r>
      <w:r w:rsidRPr="00FA3885">
        <w:rPr>
          <w:rFonts w:ascii="Times New Arabic" w:hAnsi="Times New Arabic" w:cs="Times New Roman"/>
          <w:i/>
          <w:iCs/>
          <w:kern w:val="2"/>
          <w:sz w:val="24"/>
          <w:szCs w:val="24"/>
          <w:lang w:val="nb-NO" w:eastAsia="en-US"/>
          <w14:ligatures w14:val="standardContextual"/>
        </w:rPr>
        <w:t>minhum</w:t>
      </w:r>
      <w:r w:rsidRPr="00FA3885">
        <w:rPr>
          <w:rFonts w:ascii="Times New Arabic" w:hAnsi="Times New Arabic" w:cs="Times New Roman"/>
          <w:kern w:val="2"/>
          <w:sz w:val="24"/>
          <w:szCs w:val="24"/>
          <w:lang w:val="nb-NO" w:eastAsia="en-US"/>
          <w14:ligatures w14:val="standardContextual"/>
        </w:rPr>
        <w:t>. Pendekatan ini dapat membantu menafsirkan hadis dengan lebih objektif dan kontekstual. Sebab, tidak semua bentuk kemiripan atau kehadiran otomatis dianggap sebagai tasyabbuh yang terlarang secara syariat. Dalam banyak kasus, kehadiran umat Islam dalam acara non-Muslim tidak disertai niat meniru keyakinan atau ibadah mereka, melainkan sekadar bentuk relasi sosial, budaya, atau undangan resmi.</w:t>
      </w:r>
    </w:p>
    <w:p w14:paraId="2A935E22" w14:textId="77777777" w:rsidR="00FA3885" w:rsidRDefault="00FA3885" w:rsidP="00FA3885">
      <w:pPr>
        <w:spacing w:after="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Dalam konteks masyarakat modern dan multikultural, diperlukan pendekatan fiqh yang lebih proporsional, sehingga tidak jatuh pada sikap ekstrem (ghuluw) dalam memaknai ajaran agama. Oleh karena itu, melalui penelitian ini, penulis berusaha menyelami makna hadis tentang </w:t>
      </w:r>
      <w:r w:rsidRPr="00FA3885">
        <w:rPr>
          <w:rFonts w:ascii="Times New Arabic" w:hAnsi="Times New Arabic" w:cs="Times New Roman"/>
          <w:i/>
          <w:iCs/>
          <w:kern w:val="2"/>
          <w:sz w:val="24"/>
          <w:szCs w:val="24"/>
          <w:lang w:val="nb-NO" w:eastAsia="en-US"/>
          <w14:ligatures w14:val="standardContextual"/>
        </w:rPr>
        <w:t>tasyabbuh</w:t>
      </w:r>
      <w:r w:rsidRPr="00FA3885">
        <w:rPr>
          <w:rFonts w:ascii="Times New Arabic" w:hAnsi="Times New Arabic" w:cs="Times New Roman"/>
          <w:kern w:val="2"/>
          <w:sz w:val="24"/>
          <w:szCs w:val="24"/>
          <w:lang w:val="nb-NO" w:eastAsia="en-US"/>
          <w14:ligatures w14:val="standardContextual"/>
        </w:rPr>
        <w:t xml:space="preserve"> dari aspek linguistik, lalu menghubungkannya dengan praktik sosial kontemporer, khususnya fenomena kehadiran umat Islam dalam perayaan non-Muslim.</w:t>
      </w:r>
    </w:p>
    <w:p w14:paraId="5FA875F8" w14:textId="77777777" w:rsidR="003734C5" w:rsidRPr="00FA3885" w:rsidRDefault="003734C5" w:rsidP="00FA3885">
      <w:pPr>
        <w:spacing w:after="0"/>
        <w:jc w:val="both"/>
        <w:rPr>
          <w:rFonts w:ascii="Times New Arabic" w:hAnsi="Times New Arabic" w:cs="Times New Roman"/>
          <w:kern w:val="2"/>
          <w:sz w:val="24"/>
          <w:szCs w:val="24"/>
          <w:lang w:val="nb-NO" w:eastAsia="en-US"/>
          <w14:ligatures w14:val="standardContextual"/>
        </w:rPr>
      </w:pPr>
    </w:p>
    <w:p w14:paraId="728F1544" w14:textId="77777777" w:rsidR="00FA3885" w:rsidRPr="00FA3885" w:rsidRDefault="00FA3885" w:rsidP="00FA3885">
      <w:pPr>
        <w:spacing w:after="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b/>
          <w:bCs/>
          <w:kern w:val="2"/>
          <w:sz w:val="24"/>
          <w:szCs w:val="24"/>
          <w:lang w:val="nb-NO" w:eastAsia="en-US"/>
          <w14:ligatures w14:val="standardContextual"/>
        </w:rPr>
        <w:t>Metode Penelitian</w:t>
      </w:r>
    </w:p>
    <w:p w14:paraId="762FC683"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Penelitian ini menggunakan pendekatan kualitatif dengan metode studi kasus untuk memperoleh pemahaman yang mendalam mengenai fenomena kehadiran tokoh Islam dalam perayaan Bakar Tongkang di Bagansiapiapi, khususnya dalam perspektif hadis </w:t>
      </w:r>
      <w:r w:rsidRPr="00FA3885">
        <w:rPr>
          <w:rFonts w:ascii="Times New Arabic" w:hAnsi="Times New Arabic" w:cs="Times New Roman"/>
          <w:i/>
          <w:iCs/>
          <w:kern w:val="2"/>
          <w:sz w:val="24"/>
          <w:szCs w:val="24"/>
          <w:lang w:val="nb-NO" w:eastAsia="en-US"/>
          <w14:ligatures w14:val="standardContextual"/>
        </w:rPr>
        <w:t>tasyabbuh</w:t>
      </w:r>
      <w:r w:rsidRPr="00FA3885">
        <w:rPr>
          <w:rFonts w:ascii="Times New Arabic" w:hAnsi="Times New Arabic" w:cs="Times New Roman"/>
          <w:kern w:val="2"/>
          <w:sz w:val="24"/>
          <w:szCs w:val="24"/>
          <w:lang w:val="nb-NO" w:eastAsia="en-US"/>
          <w14:ligatures w14:val="standardContextual"/>
        </w:rPr>
        <w:t>. Pendekatan ini dipilih karena mampu menggabungkan kajian teks hadis dengan observasi sosial di lapangan secara kontekstual. Lokasi penelitian berada di Bagansiapiapi, Kabupaten Rokan Hilir, Riau, pada bulan Juli–Agustus 2025, bertepatan dengan penyelenggaraan perayaan Bakar Tongkang, sehingga memungkinkan peneliti mengamati langsung proses dan dinamika yang terjadi.</w:t>
      </w:r>
    </w:p>
    <w:p w14:paraId="21DF96B0"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lastRenderedPageBreak/>
        <w:t>Sumber data penelitian terdiri dari data primer dan sekunder. Data primer diperoleh melalui wawancara mendalam (</w:t>
      </w:r>
      <w:r w:rsidRPr="00FA3885">
        <w:rPr>
          <w:rFonts w:ascii="Times New Arabic" w:hAnsi="Times New Arabic" w:cs="Times New Roman"/>
          <w:i/>
          <w:iCs/>
          <w:kern w:val="2"/>
          <w:sz w:val="24"/>
          <w:szCs w:val="24"/>
          <w:lang w:val="nb-NO" w:eastAsia="en-US"/>
          <w14:ligatures w14:val="standardContextual"/>
        </w:rPr>
        <w:t>in-depth interview</w:t>
      </w:r>
      <w:r w:rsidRPr="00FA3885">
        <w:rPr>
          <w:rFonts w:ascii="Times New Arabic" w:hAnsi="Times New Arabic" w:cs="Times New Roman"/>
          <w:kern w:val="2"/>
          <w:sz w:val="24"/>
          <w:szCs w:val="24"/>
          <w:lang w:val="nb-NO" w:eastAsia="en-US"/>
          <w14:ligatures w14:val="standardContextual"/>
        </w:rPr>
        <w:t xml:space="preserve">) dengan tiga tokoh agama, yaitu H. Suhaimi Hasyim (Ketua MUI Rohil), Dr. Ahmad Fauzi (perwakilan Kemenag Provinsi Riau), dan K.H. Idris Mansyur (ulama lokal), serta observasi langsung terhadap prosesi Bakar Tongkang baik sebelum, saat, maupun setelah acara berlangsung. Data sekunder diperoleh dari literatur hadis klasik dan kontemporer tentang </w:t>
      </w:r>
      <w:r w:rsidRPr="00FA3885">
        <w:rPr>
          <w:rFonts w:ascii="Times New Arabic" w:hAnsi="Times New Arabic" w:cs="Times New Roman"/>
          <w:i/>
          <w:iCs/>
          <w:kern w:val="2"/>
          <w:sz w:val="24"/>
          <w:szCs w:val="24"/>
          <w:lang w:val="nb-NO" w:eastAsia="en-US"/>
          <w14:ligatures w14:val="standardContextual"/>
        </w:rPr>
        <w:t>tasyabbuh</w:t>
      </w:r>
      <w:r w:rsidRPr="00FA3885">
        <w:rPr>
          <w:rFonts w:ascii="Times New Arabic" w:hAnsi="Times New Arabic" w:cs="Times New Roman"/>
          <w:kern w:val="2"/>
          <w:sz w:val="24"/>
          <w:szCs w:val="24"/>
          <w:lang w:val="nb-NO" w:eastAsia="en-US"/>
          <w14:ligatures w14:val="standardContextual"/>
        </w:rPr>
        <w:t xml:space="preserve"> seperti </w:t>
      </w:r>
      <w:r w:rsidRPr="00FA3885">
        <w:rPr>
          <w:rFonts w:ascii="Times New Arabic" w:hAnsi="Times New Arabic" w:cs="Times New Roman"/>
          <w:i/>
          <w:iCs/>
          <w:kern w:val="2"/>
          <w:sz w:val="24"/>
          <w:szCs w:val="24"/>
          <w:lang w:val="nb-NO" w:eastAsia="en-US"/>
          <w14:ligatures w14:val="standardContextual"/>
        </w:rPr>
        <w:t>Iqti</w:t>
      </w:r>
      <w:r w:rsidRPr="00FA3885">
        <w:rPr>
          <w:rFonts w:ascii="Cambria" w:hAnsi="Cambria" w:cs="Cambria"/>
          <w:i/>
          <w:iCs/>
          <w:kern w:val="2"/>
          <w:sz w:val="24"/>
          <w:szCs w:val="24"/>
          <w:lang w:val="nb-NO" w:eastAsia="en-US"/>
          <w14:ligatures w14:val="standardContextual"/>
        </w:rPr>
        <w:t>ḍā</w:t>
      </w:r>
      <w:r w:rsidRPr="00FA3885">
        <w:rPr>
          <w:rFonts w:ascii="Times New Arabic" w:hAnsi="Times New Arabic" w:cs="Times New Arabic"/>
          <w:i/>
          <w:iCs/>
          <w:kern w:val="2"/>
          <w:sz w:val="24"/>
          <w:szCs w:val="24"/>
          <w:lang w:val="nb-NO" w:eastAsia="en-US"/>
          <w14:ligatures w14:val="standardContextual"/>
        </w:rPr>
        <w:t>’</w:t>
      </w:r>
      <w:r w:rsidRPr="00FA3885">
        <w:rPr>
          <w:rFonts w:ascii="Times New Arabic" w:hAnsi="Times New Arabic" w:cs="Times New Roman"/>
          <w:i/>
          <w:iCs/>
          <w:kern w:val="2"/>
          <w:sz w:val="24"/>
          <w:szCs w:val="24"/>
          <w:lang w:val="nb-NO" w:eastAsia="en-US"/>
          <w14:ligatures w14:val="standardContextual"/>
        </w:rPr>
        <w:t xml:space="preserve"> a</w:t>
      </w:r>
      <w:r w:rsidRPr="00FA3885">
        <w:rPr>
          <w:rFonts w:ascii="Cambria" w:hAnsi="Cambria" w:cs="Cambria"/>
          <w:i/>
          <w:iCs/>
          <w:kern w:val="2"/>
          <w:sz w:val="24"/>
          <w:szCs w:val="24"/>
          <w:lang w:val="nb-NO" w:eastAsia="en-US"/>
          <w14:ligatures w14:val="standardContextual"/>
        </w:rPr>
        <w:t>ṣ</w:t>
      </w:r>
      <w:r w:rsidRPr="00FA3885">
        <w:rPr>
          <w:rFonts w:ascii="Times New Arabic" w:hAnsi="Times New Arabic" w:cs="Times New Roman"/>
          <w:i/>
          <w:iCs/>
          <w:kern w:val="2"/>
          <w:sz w:val="24"/>
          <w:szCs w:val="24"/>
          <w:lang w:val="nb-NO" w:eastAsia="en-US"/>
          <w14:ligatures w14:val="standardContextual"/>
        </w:rPr>
        <w:t>-</w:t>
      </w:r>
      <w:r w:rsidRPr="00FA3885">
        <w:rPr>
          <w:rFonts w:ascii="Cambria" w:hAnsi="Cambria" w:cs="Cambria"/>
          <w:i/>
          <w:iCs/>
          <w:kern w:val="2"/>
          <w:sz w:val="24"/>
          <w:szCs w:val="24"/>
          <w:lang w:val="nb-NO" w:eastAsia="en-US"/>
          <w14:ligatures w14:val="standardContextual"/>
        </w:rPr>
        <w:t>ṣ</w:t>
      </w:r>
      <w:r w:rsidRPr="00FA3885">
        <w:rPr>
          <w:rFonts w:ascii="Times New Arabic" w:hAnsi="Times New Arabic" w:cs="Times New Roman"/>
          <w:i/>
          <w:iCs/>
          <w:kern w:val="2"/>
          <w:sz w:val="24"/>
          <w:szCs w:val="24"/>
          <w:lang w:val="nb-NO" w:eastAsia="en-US"/>
          <w14:ligatures w14:val="standardContextual"/>
        </w:rPr>
        <w:t>ir</w:t>
      </w:r>
      <w:r w:rsidRPr="00FA3885">
        <w:rPr>
          <w:rFonts w:ascii="Cambria" w:hAnsi="Cambria" w:cs="Cambria"/>
          <w:i/>
          <w:iCs/>
          <w:kern w:val="2"/>
          <w:sz w:val="24"/>
          <w:szCs w:val="24"/>
          <w:lang w:val="nb-NO" w:eastAsia="en-US"/>
          <w14:ligatures w14:val="standardContextual"/>
        </w:rPr>
        <w:t>āṭ</w:t>
      </w:r>
      <w:r w:rsidRPr="00FA3885">
        <w:rPr>
          <w:rFonts w:ascii="Times New Arabic" w:hAnsi="Times New Arabic" w:cs="Times New Roman"/>
          <w:i/>
          <w:iCs/>
          <w:kern w:val="2"/>
          <w:sz w:val="24"/>
          <w:szCs w:val="24"/>
          <w:lang w:val="nb-NO" w:eastAsia="en-US"/>
          <w14:ligatures w14:val="standardContextual"/>
        </w:rPr>
        <w:t xml:space="preserve"> al-mustaq</w:t>
      </w:r>
      <w:r w:rsidRPr="00FA3885">
        <w:rPr>
          <w:rFonts w:ascii="Cambria" w:hAnsi="Cambria" w:cs="Cambria"/>
          <w:i/>
          <w:iCs/>
          <w:kern w:val="2"/>
          <w:sz w:val="24"/>
          <w:szCs w:val="24"/>
          <w:lang w:val="nb-NO" w:eastAsia="en-US"/>
          <w14:ligatures w14:val="standardContextual"/>
        </w:rPr>
        <w:t>ī</w:t>
      </w:r>
      <w:r w:rsidRPr="00FA3885">
        <w:rPr>
          <w:rFonts w:ascii="Times New Arabic" w:hAnsi="Times New Arabic" w:cs="Times New Roman"/>
          <w:i/>
          <w:iCs/>
          <w:kern w:val="2"/>
          <w:sz w:val="24"/>
          <w:szCs w:val="24"/>
          <w:lang w:val="nb-NO" w:eastAsia="en-US"/>
          <w14:ligatures w14:val="standardContextual"/>
        </w:rPr>
        <w:t>m</w:t>
      </w:r>
      <w:r w:rsidRPr="00FA3885">
        <w:rPr>
          <w:rFonts w:ascii="Times New Arabic" w:hAnsi="Times New Arabic" w:cs="Times New Roman"/>
          <w:kern w:val="2"/>
          <w:sz w:val="24"/>
          <w:szCs w:val="24"/>
          <w:lang w:val="nb-NO" w:eastAsia="en-US"/>
          <w14:ligatures w14:val="standardContextual"/>
        </w:rPr>
        <w:t xml:space="preserve"> karya Ibn Taimiyyah dan </w:t>
      </w:r>
      <w:r w:rsidRPr="00FA3885">
        <w:rPr>
          <w:rFonts w:ascii="Times New Arabic" w:hAnsi="Times New Arabic" w:cs="Times New Roman"/>
          <w:i/>
          <w:iCs/>
          <w:kern w:val="2"/>
          <w:sz w:val="24"/>
          <w:szCs w:val="24"/>
          <w:lang w:val="nb-NO" w:eastAsia="en-US"/>
          <w14:ligatures w14:val="standardContextual"/>
        </w:rPr>
        <w:t>Fiqh al-Awlawiyy</w:t>
      </w:r>
      <w:r w:rsidRPr="00FA3885">
        <w:rPr>
          <w:rFonts w:ascii="Cambria" w:hAnsi="Cambria" w:cs="Cambria"/>
          <w:i/>
          <w:iCs/>
          <w:kern w:val="2"/>
          <w:sz w:val="24"/>
          <w:szCs w:val="24"/>
          <w:lang w:val="nb-NO" w:eastAsia="en-US"/>
          <w14:ligatures w14:val="standardContextual"/>
        </w:rPr>
        <w:t>ā</w:t>
      </w:r>
      <w:r w:rsidRPr="00FA3885">
        <w:rPr>
          <w:rFonts w:ascii="Times New Arabic" w:hAnsi="Times New Arabic" w:cs="Times New Roman"/>
          <w:i/>
          <w:iCs/>
          <w:kern w:val="2"/>
          <w:sz w:val="24"/>
          <w:szCs w:val="24"/>
          <w:lang w:val="nb-NO" w:eastAsia="en-US"/>
          <w14:ligatures w14:val="standardContextual"/>
        </w:rPr>
        <w:t>t</w:t>
      </w:r>
      <w:r w:rsidRPr="00FA3885">
        <w:rPr>
          <w:rFonts w:ascii="Times New Arabic" w:hAnsi="Times New Arabic" w:cs="Times New Roman"/>
          <w:kern w:val="2"/>
          <w:sz w:val="24"/>
          <w:szCs w:val="24"/>
          <w:lang w:val="nb-NO" w:eastAsia="en-US"/>
          <w14:ligatures w14:val="standardContextual"/>
        </w:rPr>
        <w:t xml:space="preserve"> karya Yusuf al-Qaradawi, serta jurnal, buku, dan artikel ilmiah yang relevan dengan moderasi beragama, toleransi, dan studi etnografi Bakar Tongkang.</w:t>
      </w:r>
    </w:p>
    <w:p w14:paraId="19A4A499"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Pengumpulan data dilakukan melalui wawancara semi-terstruktur untuk menggali pandangan tokoh Islam terkait batasan partisipasi umat Muslim dalam perayaan non-Islam, observasi partisipatif non-aktif dengan menghadiri acara tanpa terlibat dalam ritual guna mendokumentasikan simbol dan interaksi sosial, serta studi dokumentasi terhadap fatwa, berita, arsip foto, dan rekaman video perayaan. Analisis data dilakukan melalui tahapan reduksi data, penyajian data, dan penarikan kesimpulan sebagaimana model Miles &amp; Huberman. Reduksi data dilakukan dengan memilah data yang relevan, penyajian data dilakukan dalam bentuk narasi tematik, dan penarikan kesimpulan dilakukan dengan menginterpretasikan temuan dalam kerangka teori hadis, fiqh, dan moderasi beragama.</w:t>
      </w:r>
      <w:r w:rsidRPr="00FA3885">
        <w:rPr>
          <w:rFonts w:ascii="Times New Arabic" w:hAnsi="Times New Arabic" w:cs="Times New Roman"/>
          <w:kern w:val="2"/>
          <w:sz w:val="24"/>
          <w:szCs w:val="24"/>
          <w:vertAlign w:val="superscript"/>
          <w:lang w:val="nb-NO" w:eastAsia="en-US"/>
          <w14:ligatures w14:val="standardContextual"/>
        </w:rPr>
        <w:footnoteReference w:id="15"/>
      </w:r>
    </w:p>
    <w:p w14:paraId="5C4B4012" w14:textId="2D0B1B27" w:rsid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Keabsahan data dijaga melalui triangulasi sumber, yaitu membandingkan informasi yang diperoleh dari tokoh agama, observasi, dan literatur, serta triangulasi metode melalui kombinasi wawancara, observasi, dan studi dokumen. Validasi tambahan dilakukan dengan </w:t>
      </w:r>
      <w:r w:rsidRPr="00FA3885">
        <w:rPr>
          <w:rFonts w:ascii="Times New Arabic" w:hAnsi="Times New Arabic" w:cs="Times New Roman"/>
          <w:i/>
          <w:iCs/>
          <w:kern w:val="2"/>
          <w:sz w:val="24"/>
          <w:szCs w:val="24"/>
          <w:lang w:val="nb-NO" w:eastAsia="en-US"/>
          <w14:ligatures w14:val="standardContextual"/>
        </w:rPr>
        <w:t>member check</w:t>
      </w:r>
      <w:r w:rsidRPr="00FA3885">
        <w:rPr>
          <w:rFonts w:ascii="Times New Arabic" w:hAnsi="Times New Arabic" w:cs="Times New Roman"/>
          <w:kern w:val="2"/>
          <w:sz w:val="24"/>
          <w:szCs w:val="24"/>
          <w:lang w:val="nb-NO" w:eastAsia="en-US"/>
          <w14:ligatures w14:val="standardContextual"/>
        </w:rPr>
        <w:t>, yakni mengonfirmasi hasil interpretasi kepada narasumber untuk memastikan kebenaran dan konsistensi data</w:t>
      </w:r>
      <w:r w:rsidR="003734C5">
        <w:rPr>
          <w:rFonts w:ascii="Times New Arabic" w:hAnsi="Times New Arabic" w:cs="Times New Roman"/>
          <w:kern w:val="2"/>
          <w:sz w:val="24"/>
          <w:szCs w:val="24"/>
          <w:lang w:val="nb-NO" w:eastAsia="en-US"/>
          <w14:ligatures w14:val="standardContextual"/>
        </w:rPr>
        <w:t>.\</w:t>
      </w:r>
    </w:p>
    <w:p w14:paraId="6C1644F7" w14:textId="77777777" w:rsidR="003734C5" w:rsidRPr="00FA3885" w:rsidRDefault="003734C5" w:rsidP="00FA3885">
      <w:pPr>
        <w:spacing w:after="0"/>
        <w:ind w:firstLine="720"/>
        <w:jc w:val="both"/>
        <w:rPr>
          <w:rFonts w:ascii="Times New Arabic" w:hAnsi="Times New Arabic" w:cs="Times New Roman"/>
          <w:kern w:val="2"/>
          <w:sz w:val="24"/>
          <w:szCs w:val="24"/>
          <w:lang w:val="nb-NO" w:eastAsia="en-US"/>
          <w14:ligatures w14:val="standardContextual"/>
        </w:rPr>
      </w:pPr>
    </w:p>
    <w:p w14:paraId="4DE5DF1C" w14:textId="77777777" w:rsidR="00FA3885" w:rsidRPr="00FA3885" w:rsidRDefault="00FA3885" w:rsidP="00FA3885">
      <w:pPr>
        <w:spacing w:after="0"/>
        <w:jc w:val="both"/>
        <w:rPr>
          <w:rFonts w:ascii="Times New Arabic" w:hAnsi="Times New Arabic" w:cs="Times New Roman"/>
          <w:b/>
          <w:kern w:val="2"/>
          <w:sz w:val="24"/>
          <w:szCs w:val="24"/>
          <w:lang w:val="nb-NO" w:eastAsia="en-US"/>
          <w14:ligatures w14:val="standardContextual"/>
        </w:rPr>
      </w:pPr>
      <w:r w:rsidRPr="00FA3885">
        <w:rPr>
          <w:rFonts w:ascii="Times New Arabic" w:hAnsi="Times New Arabic" w:cs="Times New Roman"/>
          <w:b/>
          <w:kern w:val="2"/>
          <w:sz w:val="24"/>
          <w:szCs w:val="24"/>
          <w:lang w:val="nb-NO" w:eastAsia="en-US"/>
          <w14:ligatures w14:val="standardContextual"/>
        </w:rPr>
        <w:t>Hasil dan Pembahasan</w:t>
      </w:r>
    </w:p>
    <w:p w14:paraId="06AD1695" w14:textId="1B7CEED3" w:rsidR="00FA3885" w:rsidRPr="003734C5" w:rsidRDefault="00FA3885" w:rsidP="003734C5">
      <w:pPr>
        <w:pStyle w:val="DaftarParagraf"/>
        <w:numPr>
          <w:ilvl w:val="0"/>
          <w:numId w:val="43"/>
        </w:numPr>
        <w:spacing w:after="0"/>
        <w:ind w:left="284" w:hanging="284"/>
        <w:jc w:val="both"/>
        <w:rPr>
          <w:rFonts w:ascii="Times New Arabic" w:hAnsi="Times New Arabic"/>
          <w:b/>
          <w:bCs/>
          <w:kern w:val="2"/>
          <w:sz w:val="24"/>
          <w:szCs w:val="24"/>
          <w:lang w:val="nb-NO" w:eastAsia="en-US"/>
          <w14:ligatures w14:val="standardContextual"/>
        </w:rPr>
      </w:pPr>
      <w:r w:rsidRPr="003734C5">
        <w:rPr>
          <w:rFonts w:ascii="Times New Arabic" w:hAnsi="Times New Arabic"/>
          <w:b/>
          <w:bCs/>
          <w:kern w:val="2"/>
          <w:sz w:val="24"/>
          <w:szCs w:val="24"/>
          <w:lang w:val="nb-NO" w:eastAsia="en-US"/>
          <w14:ligatures w14:val="standardContextual"/>
        </w:rPr>
        <w:t>Pemahaman Normatif Hadis Tasyabbuh di Kalangan Masyarakat Muslim</w:t>
      </w:r>
    </w:p>
    <w:p w14:paraId="39480AB3"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Dalam menyoroti fenomena kehadiran umat Islam pada perayaan non-Islam, para ulama kerap merujuk pada hadis yang secara eksplisit melarang penyerupaan terhadap kaum lain. Salah satu hadis yang paling sering dijadikan rujukan dalam konteks ini adalah riwayat dari Abu Dawud yang berasal dari sahabat Ibn Umar:</w:t>
      </w:r>
    </w:p>
    <w:p w14:paraId="1BCF5430" w14:textId="55894093" w:rsidR="00FA3885" w:rsidRPr="00FA3885" w:rsidRDefault="00FA3885" w:rsidP="003734C5">
      <w:pPr>
        <w:bidi/>
        <w:spacing w:after="0" w:line="240" w:lineRule="auto"/>
        <w:jc w:val="both"/>
        <w:rPr>
          <w:rFonts w:ascii="Traditional Arabic" w:hAnsi="Traditional Arabic" w:cs="Traditional Arabic"/>
          <w:i/>
          <w:iCs/>
          <w:kern w:val="2"/>
          <w:sz w:val="36"/>
          <w:szCs w:val="36"/>
          <w:lang w:val="en-ID" w:eastAsia="en-US"/>
          <w14:ligatures w14:val="standardContextual"/>
        </w:rPr>
      </w:pPr>
      <w:proofErr w:type="spellStart"/>
      <w:r w:rsidRPr="00FA3885">
        <w:rPr>
          <w:rFonts w:ascii="Traditional Arabic" w:hAnsi="Traditional Arabic" w:cs="Traditional Arabic"/>
          <w:kern w:val="2"/>
          <w:sz w:val="36"/>
          <w:szCs w:val="36"/>
          <w:lang w:val="en-ID" w:eastAsia="en-US"/>
          <w14:ligatures w14:val="standardContextual"/>
        </w:rPr>
        <w:t>عَنْ</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ابْنِ</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عُمَرَ</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أَنَّ</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رَسُولَ</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اللهِ</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صَلَّى</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اللهُ</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عَلَيْهِ</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وَسَلَّمَ</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قَالَ</w:t>
      </w:r>
      <w:proofErr w:type="spellEnd"/>
      <w:r w:rsidRPr="00FA3885">
        <w:rPr>
          <w:rFonts w:ascii="Traditional Arabic" w:hAnsi="Traditional Arabic" w:cs="Traditional Arabic"/>
          <w:kern w:val="2"/>
          <w:sz w:val="36"/>
          <w:szCs w:val="36"/>
          <w:lang w:val="en-ID" w:eastAsia="en-US"/>
          <w14:ligatures w14:val="standardContextual"/>
        </w:rPr>
        <w:t>:</w:t>
      </w:r>
      <w:r w:rsidR="003734C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مَنْ</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تَشَبَّهَ</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بِقَوْمٍ</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فَهُوَ</w:t>
      </w:r>
      <w:proofErr w:type="spellEnd"/>
      <w:r w:rsidRPr="00FA3885">
        <w:rPr>
          <w:rFonts w:ascii="Traditional Arabic" w:hAnsi="Traditional Arabic" w:cs="Traditional Arabic"/>
          <w:kern w:val="2"/>
          <w:sz w:val="36"/>
          <w:szCs w:val="36"/>
          <w:lang w:val="en-ID" w:eastAsia="en-US"/>
          <w14:ligatures w14:val="standardContextual"/>
        </w:rPr>
        <w:t xml:space="preserve"> </w:t>
      </w:r>
      <w:proofErr w:type="spellStart"/>
      <w:r w:rsidRPr="00FA3885">
        <w:rPr>
          <w:rFonts w:ascii="Traditional Arabic" w:hAnsi="Traditional Arabic" w:cs="Traditional Arabic"/>
          <w:kern w:val="2"/>
          <w:sz w:val="36"/>
          <w:szCs w:val="36"/>
          <w:lang w:val="en-ID" w:eastAsia="en-US"/>
          <w14:ligatures w14:val="standardContextual"/>
        </w:rPr>
        <w:t>مِنْهُمْ</w:t>
      </w:r>
      <w:proofErr w:type="spellEnd"/>
    </w:p>
    <w:p w14:paraId="7BFCBD6A" w14:textId="0D7F1841" w:rsidR="00FA3885" w:rsidRPr="00FA3885" w:rsidRDefault="00FA3885" w:rsidP="003734C5">
      <w:pPr>
        <w:spacing w:after="0"/>
        <w:ind w:left="851" w:hanging="851"/>
        <w:jc w:val="both"/>
        <w:rPr>
          <w:rFonts w:ascii="Times New Arabic" w:hAnsi="Times New Arabic" w:cs="Times New Roman"/>
          <w:i/>
          <w:iCs/>
          <w:kern w:val="2"/>
          <w:sz w:val="24"/>
          <w:szCs w:val="24"/>
          <w:lang w:val="en-ID" w:eastAsia="en-US"/>
          <w14:ligatures w14:val="standardContextual"/>
        </w:rPr>
      </w:pPr>
      <w:proofErr w:type="spellStart"/>
      <w:r w:rsidRPr="00FA3885">
        <w:rPr>
          <w:rFonts w:ascii="Times New Arabic" w:hAnsi="Times New Arabic" w:cs="Times New Roman"/>
          <w:i/>
          <w:iCs/>
          <w:kern w:val="2"/>
          <w:sz w:val="24"/>
          <w:szCs w:val="24"/>
          <w:lang w:val="sv-SE" w:eastAsia="en-US"/>
          <w14:ligatures w14:val="standardContextual"/>
        </w:rPr>
        <w:t>Artinya</w:t>
      </w:r>
      <w:proofErr w:type="spellEnd"/>
      <w:r w:rsidRPr="00FA3885">
        <w:rPr>
          <w:rFonts w:ascii="Times New Arabic" w:hAnsi="Times New Arabic" w:cs="Times New Roman"/>
          <w:i/>
          <w:iCs/>
          <w:kern w:val="2"/>
          <w:sz w:val="24"/>
          <w:szCs w:val="24"/>
          <w:lang w:val="sv-SE" w:eastAsia="en-US"/>
          <w14:ligatures w14:val="standardContextual"/>
        </w:rPr>
        <w:t>:</w:t>
      </w:r>
      <w:r w:rsidRPr="00FA3885">
        <w:rPr>
          <w:rFonts w:ascii="Times New Arabic" w:hAnsi="Times New Arabic" w:cs="Times New Roman"/>
          <w:kern w:val="2"/>
          <w:sz w:val="24"/>
          <w:szCs w:val="24"/>
          <w:lang w:val="sv-SE" w:eastAsia="en-US"/>
          <w14:ligatures w14:val="standardContextual"/>
        </w:rPr>
        <w:t xml:space="preserve"> </w:t>
      </w:r>
      <w:r w:rsidRPr="00FA3885">
        <w:rPr>
          <w:rFonts w:ascii="Times New Arabic" w:hAnsi="Times New Arabic" w:cs="Times New Roman"/>
          <w:i/>
          <w:iCs/>
          <w:kern w:val="2"/>
          <w:sz w:val="24"/>
          <w:szCs w:val="24"/>
          <w:lang w:val="sv-SE" w:eastAsia="en-US"/>
          <w14:ligatures w14:val="standardContextual"/>
        </w:rPr>
        <w:t>“</w:t>
      </w:r>
      <w:proofErr w:type="spellStart"/>
      <w:r w:rsidRPr="00FA3885">
        <w:rPr>
          <w:rFonts w:ascii="Times New Arabic" w:hAnsi="Times New Arabic" w:cs="Times New Roman"/>
          <w:i/>
          <w:iCs/>
          <w:kern w:val="2"/>
          <w:sz w:val="24"/>
          <w:szCs w:val="24"/>
          <w:lang w:val="sv-SE" w:eastAsia="en-US"/>
          <w14:ligatures w14:val="standardContextual"/>
        </w:rPr>
        <w:t>Barang</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siapa</w:t>
      </w:r>
      <w:proofErr w:type="spellEnd"/>
      <w:r w:rsidRPr="00FA3885">
        <w:rPr>
          <w:rFonts w:ascii="Times New Arabic" w:hAnsi="Times New Arabic" w:cs="Times New Roman"/>
          <w:i/>
          <w:iCs/>
          <w:kern w:val="2"/>
          <w:sz w:val="24"/>
          <w:szCs w:val="24"/>
          <w:lang w:val="sv-SE" w:eastAsia="en-US"/>
          <w14:ligatures w14:val="standardContextual"/>
        </w:rPr>
        <w:t xml:space="preserve"> yang </w:t>
      </w:r>
      <w:proofErr w:type="spellStart"/>
      <w:r w:rsidRPr="00FA3885">
        <w:rPr>
          <w:rFonts w:ascii="Times New Arabic" w:hAnsi="Times New Arabic" w:cs="Times New Roman"/>
          <w:i/>
          <w:iCs/>
          <w:kern w:val="2"/>
          <w:sz w:val="24"/>
          <w:szCs w:val="24"/>
          <w:lang w:val="sv-SE" w:eastAsia="en-US"/>
          <w14:ligatures w14:val="standardContextual"/>
        </w:rPr>
        <w:t>menyerupai</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suatu</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kaum</w:t>
      </w:r>
      <w:proofErr w:type="spellEnd"/>
      <w:r w:rsidRPr="00FA3885">
        <w:rPr>
          <w:rFonts w:ascii="Times New Arabic" w:hAnsi="Times New Arabic" w:cs="Times New Roman"/>
          <w:i/>
          <w:iCs/>
          <w:kern w:val="2"/>
          <w:sz w:val="24"/>
          <w:szCs w:val="24"/>
          <w:lang w:val="sv-SE" w:eastAsia="en-US"/>
          <w14:ligatures w14:val="standardContextual"/>
        </w:rPr>
        <w:t xml:space="preserve">, maka </w:t>
      </w:r>
      <w:proofErr w:type="spellStart"/>
      <w:r w:rsidRPr="00FA3885">
        <w:rPr>
          <w:rFonts w:ascii="Times New Arabic" w:hAnsi="Times New Arabic" w:cs="Times New Roman"/>
          <w:i/>
          <w:iCs/>
          <w:kern w:val="2"/>
          <w:sz w:val="24"/>
          <w:szCs w:val="24"/>
          <w:lang w:val="sv-SE" w:eastAsia="en-US"/>
          <w14:ligatures w14:val="standardContextual"/>
        </w:rPr>
        <w:t>ia</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termasuk</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golongan</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mereka</w:t>
      </w:r>
      <w:proofErr w:type="spellEnd"/>
      <w:r w:rsidRPr="00FA3885">
        <w:rPr>
          <w:rFonts w:ascii="Times New Arabic" w:hAnsi="Times New Arabic" w:cs="Times New Roman"/>
          <w:i/>
          <w:iCs/>
          <w:kern w:val="2"/>
          <w:sz w:val="24"/>
          <w:szCs w:val="24"/>
          <w:lang w:val="sv-SE" w:eastAsia="en-US"/>
          <w14:ligatures w14:val="standardContextual"/>
        </w:rPr>
        <w:t>.”</w:t>
      </w:r>
      <w:r w:rsidR="003734C5" w:rsidRPr="003734C5">
        <w:rPr>
          <w:rFonts w:ascii="Times New Arabic" w:hAnsi="Times New Arabic" w:cs="Times New Roman"/>
          <w:i/>
          <w:iCs/>
          <w:kern w:val="2"/>
          <w:sz w:val="24"/>
          <w:szCs w:val="24"/>
          <w:lang w:val="sv-SE" w:eastAsia="en-US"/>
          <w14:ligatures w14:val="standardContextual"/>
        </w:rPr>
        <w:t xml:space="preserve"> </w:t>
      </w:r>
      <w:r w:rsidRPr="00FA3885">
        <w:rPr>
          <w:rFonts w:ascii="Times New Arabic" w:hAnsi="Times New Arabic" w:cs="Times New Roman"/>
          <w:i/>
          <w:iCs/>
          <w:kern w:val="2"/>
          <w:sz w:val="24"/>
          <w:szCs w:val="24"/>
          <w:lang w:val="en-ID" w:eastAsia="en-US"/>
          <w14:ligatures w14:val="standardContextual"/>
        </w:rPr>
        <w:t>(HR. Abu Dawud, No. 4031)</w:t>
      </w:r>
      <w:r w:rsidRPr="00FA3885">
        <w:rPr>
          <w:rFonts w:ascii="Times New Arabic" w:hAnsi="Times New Arabic" w:cs="Times New Roman"/>
          <w:i/>
          <w:iCs/>
          <w:kern w:val="2"/>
          <w:sz w:val="24"/>
          <w:szCs w:val="24"/>
          <w:vertAlign w:val="superscript"/>
          <w:lang w:val="en-ID" w:eastAsia="en-US"/>
          <w14:ligatures w14:val="standardContextual"/>
        </w:rPr>
        <w:footnoteReference w:id="16"/>
      </w:r>
    </w:p>
    <w:p w14:paraId="2EAABF37" w14:textId="77777777" w:rsidR="00FA3885" w:rsidRPr="00FA3885" w:rsidRDefault="00FA3885" w:rsidP="00FA3885">
      <w:pPr>
        <w:spacing w:after="0"/>
        <w:ind w:firstLine="720"/>
        <w:jc w:val="both"/>
        <w:rPr>
          <w:rFonts w:ascii="Times New Arabic" w:hAnsi="Times New Arabic" w:cs="Times New Roman"/>
          <w:kern w:val="2"/>
          <w:sz w:val="24"/>
          <w:szCs w:val="24"/>
          <w:lang w:val="sv-SE" w:eastAsia="en-US"/>
          <w14:ligatures w14:val="standardContextual"/>
        </w:rPr>
      </w:pPr>
      <w:r w:rsidRPr="00FA3885">
        <w:rPr>
          <w:rFonts w:ascii="Times New Arabic" w:hAnsi="Times New Arabic" w:cs="Times New Roman"/>
          <w:kern w:val="2"/>
          <w:sz w:val="24"/>
          <w:szCs w:val="24"/>
          <w:lang w:val="en-ID" w:eastAsia="en-US"/>
          <w14:ligatures w14:val="standardContextual"/>
        </w:rPr>
        <w:t xml:space="preserve">Hasil </w:t>
      </w:r>
      <w:proofErr w:type="spellStart"/>
      <w:r w:rsidRPr="00FA3885">
        <w:rPr>
          <w:rFonts w:ascii="Times New Arabic" w:hAnsi="Times New Arabic" w:cs="Times New Roman"/>
          <w:kern w:val="2"/>
          <w:sz w:val="24"/>
          <w:szCs w:val="24"/>
          <w:lang w:val="en-ID" w:eastAsia="en-US"/>
          <w14:ligatures w14:val="standardContextual"/>
        </w:rPr>
        <w:t>penelitian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menunjukkan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bahwa</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mayoritas</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responden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memahami</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hadis</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secara</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tekstual</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sebagai</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larangan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keras</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untuk</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menyerupai</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kaum</w:t>
      </w:r>
      <w:proofErr w:type="spellEnd"/>
      <w:r w:rsidRPr="00FA3885">
        <w:rPr>
          <w:rFonts w:ascii="Times New Arabic" w:hAnsi="Times New Arabic" w:cs="Times New Roman"/>
          <w:kern w:val="2"/>
          <w:sz w:val="24"/>
          <w:szCs w:val="24"/>
          <w:lang w:val="en-ID" w:eastAsia="en-US"/>
          <w14:ligatures w14:val="standardContextual"/>
        </w:rPr>
        <w:t xml:space="preserve"> non-Muslim, </w:t>
      </w:r>
      <w:proofErr w:type="spellStart"/>
      <w:r w:rsidRPr="00FA3885">
        <w:rPr>
          <w:rFonts w:ascii="Times New Arabic" w:hAnsi="Times New Arabic" w:cs="Times New Roman"/>
          <w:kern w:val="2"/>
          <w:sz w:val="24"/>
          <w:szCs w:val="24"/>
          <w:lang w:val="en-ID" w:eastAsia="en-US"/>
          <w14:ligatures w14:val="standardContextual"/>
        </w:rPr>
        <w:t>baik</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dalam</w:t>
      </w:r>
      <w:proofErr w:type="spellEnd"/>
      <w:r w:rsidRPr="00FA3885">
        <w:rPr>
          <w:rFonts w:ascii="Times New Arabic" w:hAnsi="Times New Arabic" w:cs="Times New Roman"/>
          <w:kern w:val="2"/>
          <w:sz w:val="24"/>
          <w:szCs w:val="24"/>
          <w:lang w:val="en-ID" w:eastAsia="en-US"/>
          <w14:ligatures w14:val="standardContextual"/>
        </w:rPr>
        <w:t xml:space="preserve"> ibadah </w:t>
      </w:r>
      <w:proofErr w:type="spellStart"/>
      <w:r w:rsidRPr="00FA3885">
        <w:rPr>
          <w:rFonts w:ascii="Times New Arabic" w:hAnsi="Times New Arabic" w:cs="Times New Roman"/>
          <w:kern w:val="2"/>
          <w:sz w:val="24"/>
          <w:szCs w:val="24"/>
          <w:lang w:val="en-ID" w:eastAsia="en-US"/>
          <w14:ligatures w14:val="standardContextual"/>
        </w:rPr>
        <w:t>maupun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ekspresi</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simbolik</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keagamaan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Pemahaman</w:t>
      </w:r>
      <w:proofErr w:type="spellEnd"/>
      <w:r w:rsidRPr="00FA3885">
        <w:rPr>
          <w:rFonts w:ascii="Times New Arabic" w:hAnsi="Times New Arabic" w:cs="Times New Roman"/>
          <w:kern w:val="2"/>
          <w:sz w:val="24"/>
          <w:szCs w:val="24"/>
          <w:lang w:val="sv-SE" w:eastAsia="en-US"/>
          <w14:ligatures w14:val="standardContextual"/>
        </w:rPr>
        <w:t xml:space="preserve"> ini </w:t>
      </w:r>
      <w:proofErr w:type="spellStart"/>
      <w:r w:rsidRPr="00FA3885">
        <w:rPr>
          <w:rFonts w:ascii="Times New Arabic" w:hAnsi="Times New Arabic" w:cs="Times New Roman"/>
          <w:kern w:val="2"/>
          <w:sz w:val="24"/>
          <w:szCs w:val="24"/>
          <w:lang w:val="sv-SE" w:eastAsia="en-US"/>
          <w14:ligatures w14:val="standardContextual"/>
        </w:rPr>
        <w:t>secara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umum</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mencerminkan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pendekatan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literal</w:t>
      </w:r>
      <w:proofErr w:type="spellEnd"/>
      <w:r w:rsidRPr="00FA3885">
        <w:rPr>
          <w:rFonts w:ascii="Times New Arabic" w:hAnsi="Times New Arabic" w:cs="Times New Roman"/>
          <w:kern w:val="2"/>
          <w:sz w:val="24"/>
          <w:szCs w:val="24"/>
          <w:lang w:val="sv-SE" w:eastAsia="en-US"/>
          <w14:ligatures w14:val="standardContextual"/>
        </w:rPr>
        <w:t xml:space="preserve">, di mana </w:t>
      </w:r>
      <w:proofErr w:type="spellStart"/>
      <w:r w:rsidRPr="00FA3885">
        <w:rPr>
          <w:rFonts w:ascii="Times New Arabic" w:hAnsi="Times New Arabic" w:cs="Times New Roman"/>
          <w:kern w:val="2"/>
          <w:sz w:val="24"/>
          <w:szCs w:val="24"/>
          <w:lang w:val="sv-SE" w:eastAsia="en-US"/>
          <w14:ligatures w14:val="standardContextual"/>
        </w:rPr>
        <w:t>larangan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tasyabbuh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dipahami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secara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langsung</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tanpa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mempertimbangkan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konteks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historis</w:t>
      </w:r>
      <w:proofErr w:type="spellEnd"/>
      <w:r w:rsidRPr="00FA3885">
        <w:rPr>
          <w:rFonts w:ascii="Times New Arabic" w:hAnsi="Times New Arabic" w:cs="Times New Roman"/>
          <w:kern w:val="2"/>
          <w:sz w:val="24"/>
          <w:szCs w:val="24"/>
          <w:lang w:val="sv-SE" w:eastAsia="en-US"/>
          <w14:ligatures w14:val="standardContextual"/>
        </w:rPr>
        <w:t xml:space="preserve"> dan </w:t>
      </w:r>
      <w:proofErr w:type="spellStart"/>
      <w:r w:rsidRPr="00FA3885">
        <w:rPr>
          <w:rFonts w:ascii="Times New Arabic" w:hAnsi="Times New Arabic" w:cs="Times New Roman"/>
          <w:kern w:val="2"/>
          <w:sz w:val="24"/>
          <w:szCs w:val="24"/>
          <w:lang w:val="sv-SE" w:eastAsia="en-US"/>
          <w14:ligatures w14:val="standardContextual"/>
        </w:rPr>
        <w:t>sosial</w:t>
      </w:r>
      <w:proofErr w:type="spellEnd"/>
      <w:r w:rsidRPr="00FA3885">
        <w:rPr>
          <w:rFonts w:ascii="Times New Arabic" w:hAnsi="Times New Arabic" w:cs="Times New Roman"/>
          <w:kern w:val="2"/>
          <w:sz w:val="24"/>
          <w:szCs w:val="24"/>
          <w:lang w:val="sv-SE" w:eastAsia="en-US"/>
          <w14:ligatures w14:val="standardContextual"/>
        </w:rPr>
        <w:t xml:space="preserve"> dari </w:t>
      </w:r>
      <w:proofErr w:type="spellStart"/>
      <w:r w:rsidRPr="00FA3885">
        <w:rPr>
          <w:rFonts w:ascii="Times New Arabic" w:hAnsi="Times New Arabic" w:cs="Times New Roman"/>
          <w:kern w:val="2"/>
          <w:sz w:val="24"/>
          <w:szCs w:val="24"/>
          <w:lang w:val="sv-SE" w:eastAsia="en-US"/>
          <w14:ligatures w14:val="standardContextual"/>
        </w:rPr>
        <w:t>pernyataan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Rasulullah</w:t>
      </w:r>
      <w:proofErr w:type="spellEnd"/>
      <w:r w:rsidRPr="00FA3885">
        <w:rPr>
          <w:rFonts w:ascii="Times New Arabic" w:hAnsi="Times New Arabic" w:cs="Times New Roman"/>
          <w:kern w:val="2"/>
          <w:sz w:val="24"/>
          <w:szCs w:val="24"/>
          <w:lang w:val="sv-SE" w:eastAsia="en-US"/>
          <w14:ligatures w14:val="standardContextual"/>
        </w:rPr>
        <w:t xml:space="preserve"> SAW. </w:t>
      </w:r>
      <w:proofErr w:type="spellStart"/>
      <w:r w:rsidRPr="00FA3885">
        <w:rPr>
          <w:rFonts w:ascii="Times New Arabic" w:hAnsi="Times New Arabic" w:cs="Times New Roman"/>
          <w:kern w:val="2"/>
          <w:sz w:val="24"/>
          <w:szCs w:val="24"/>
          <w:lang w:val="sv-SE" w:eastAsia="en-US"/>
          <w14:ligatures w14:val="standardContextual"/>
        </w:rPr>
        <w:t>Dalam</w:t>
      </w:r>
      <w:proofErr w:type="spellEnd"/>
      <w:r w:rsidRPr="00FA3885">
        <w:rPr>
          <w:rFonts w:ascii="Times New Arabic" w:hAnsi="Times New Arabic" w:cs="Times New Roman"/>
          <w:kern w:val="2"/>
          <w:sz w:val="24"/>
          <w:szCs w:val="24"/>
          <w:lang w:val="sv-SE" w:eastAsia="en-US"/>
          <w14:ligatures w14:val="standardContextual"/>
        </w:rPr>
        <w:t xml:space="preserve"> </w:t>
      </w:r>
      <w:r w:rsidRPr="00FA3885">
        <w:rPr>
          <w:rFonts w:ascii="Times New Arabic" w:hAnsi="Times New Arabic" w:cs="Times New Roman"/>
          <w:kern w:val="2"/>
          <w:sz w:val="24"/>
          <w:szCs w:val="24"/>
          <w:lang w:val="sv-SE" w:eastAsia="en-US"/>
          <w14:ligatures w14:val="standardContextual"/>
        </w:rPr>
        <w:lastRenderedPageBreak/>
        <w:t xml:space="preserve">hal ini, </w:t>
      </w:r>
      <w:proofErr w:type="spellStart"/>
      <w:r w:rsidRPr="00FA3885">
        <w:rPr>
          <w:rFonts w:ascii="Times New Arabic" w:hAnsi="Times New Arabic" w:cs="Times New Roman"/>
          <w:kern w:val="2"/>
          <w:sz w:val="24"/>
          <w:szCs w:val="24"/>
          <w:lang w:val="sv-SE" w:eastAsia="en-US"/>
          <w14:ligatures w14:val="standardContextual"/>
        </w:rPr>
        <w:t>kehadiran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umat</w:t>
      </w:r>
      <w:proofErr w:type="spellEnd"/>
      <w:r w:rsidRPr="00FA3885">
        <w:rPr>
          <w:rFonts w:ascii="Times New Arabic" w:hAnsi="Times New Arabic" w:cs="Times New Roman"/>
          <w:kern w:val="2"/>
          <w:sz w:val="24"/>
          <w:szCs w:val="24"/>
          <w:lang w:val="sv-SE" w:eastAsia="en-US"/>
          <w14:ligatures w14:val="standardContextual"/>
        </w:rPr>
        <w:t xml:space="preserve"> Islam </w:t>
      </w:r>
      <w:proofErr w:type="spellStart"/>
      <w:r w:rsidRPr="00FA3885">
        <w:rPr>
          <w:rFonts w:ascii="Times New Arabic" w:hAnsi="Times New Arabic" w:cs="Times New Roman"/>
          <w:kern w:val="2"/>
          <w:sz w:val="24"/>
          <w:szCs w:val="24"/>
          <w:lang w:val="sv-SE" w:eastAsia="en-US"/>
          <w14:ligatures w14:val="standardContextual"/>
        </w:rPr>
        <w:t>dalam</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perayaan</w:t>
      </w:r>
      <w:proofErr w:type="spellEnd"/>
      <w:r w:rsidRPr="00FA3885">
        <w:rPr>
          <w:rFonts w:ascii="Times New Arabic" w:hAnsi="Times New Arabic" w:cs="Times New Roman"/>
          <w:kern w:val="2"/>
          <w:sz w:val="24"/>
          <w:szCs w:val="24"/>
          <w:lang w:val="sv-SE" w:eastAsia="en-US"/>
          <w14:ligatures w14:val="standardContextual"/>
        </w:rPr>
        <w:t xml:space="preserve"> Bakar </w:t>
      </w:r>
      <w:proofErr w:type="spellStart"/>
      <w:r w:rsidRPr="00FA3885">
        <w:rPr>
          <w:rFonts w:ascii="Times New Arabic" w:hAnsi="Times New Arabic" w:cs="Times New Roman"/>
          <w:kern w:val="2"/>
          <w:sz w:val="24"/>
          <w:szCs w:val="24"/>
          <w:lang w:val="sv-SE" w:eastAsia="en-US"/>
          <w14:ligatures w14:val="standardContextual"/>
        </w:rPr>
        <w:t>Tongkang</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meskipun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sebagai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penonton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pasif</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dipandang</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sebagai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bentuk</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tasyabbuh</w:t>
      </w:r>
      <w:proofErr w:type="spellEnd"/>
      <w:r w:rsidRPr="00FA3885">
        <w:rPr>
          <w:rFonts w:ascii="Times New Arabic" w:hAnsi="Times New Arabic" w:cs="Times New Roman"/>
          <w:kern w:val="2"/>
          <w:sz w:val="24"/>
          <w:szCs w:val="24"/>
          <w:lang w:val="sv-SE" w:eastAsia="en-US"/>
          <w14:ligatures w14:val="standardContextual"/>
        </w:rPr>
        <w:t xml:space="preserve"> yang </w:t>
      </w:r>
      <w:proofErr w:type="spellStart"/>
      <w:r w:rsidRPr="00FA3885">
        <w:rPr>
          <w:rFonts w:ascii="Times New Arabic" w:hAnsi="Times New Arabic" w:cs="Times New Roman"/>
          <w:kern w:val="2"/>
          <w:sz w:val="24"/>
          <w:szCs w:val="24"/>
          <w:lang w:val="sv-SE" w:eastAsia="en-US"/>
          <w14:ligatures w14:val="standardContextual"/>
        </w:rPr>
        <w:t>dapat</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mengaburkan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batas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identitas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keislaman</w:t>
      </w:r>
      <w:proofErr w:type="spellEnd"/>
      <w:r w:rsidRPr="00FA3885">
        <w:rPr>
          <w:rFonts w:ascii="Times New Arabic" w:hAnsi="Times New Arabic" w:cs="Times New Roman"/>
          <w:kern w:val="2"/>
          <w:sz w:val="24"/>
          <w:szCs w:val="24"/>
          <w:lang w:val="sv-SE" w:eastAsia="en-US"/>
          <w14:ligatures w14:val="standardContextual"/>
        </w:rPr>
        <w:t>.</w:t>
      </w:r>
    </w:p>
    <w:p w14:paraId="67766EC1"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proofErr w:type="spellStart"/>
      <w:r w:rsidRPr="00FA3885">
        <w:rPr>
          <w:rFonts w:ascii="Times New Arabic" w:hAnsi="Times New Arabic" w:cs="Times New Roman"/>
          <w:kern w:val="2"/>
          <w:sz w:val="24"/>
          <w:szCs w:val="24"/>
          <w:lang w:val="sv-SE" w:eastAsia="en-US"/>
          <w14:ligatures w14:val="standardContextual"/>
        </w:rPr>
        <w:t>Kecenderungan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membaca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hadis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secara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literal</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tampak</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dalam</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pandangan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masyarakat</w:t>
      </w:r>
      <w:proofErr w:type="spellEnd"/>
      <w:r w:rsidRPr="00FA3885">
        <w:rPr>
          <w:rFonts w:ascii="Times New Arabic" w:hAnsi="Times New Arabic" w:cs="Times New Roman"/>
          <w:kern w:val="2"/>
          <w:sz w:val="24"/>
          <w:szCs w:val="24"/>
          <w:lang w:val="sv-SE" w:eastAsia="en-US"/>
          <w14:ligatures w14:val="standardContextual"/>
        </w:rPr>
        <w:t xml:space="preserve"> yang </w:t>
      </w:r>
      <w:proofErr w:type="spellStart"/>
      <w:r w:rsidRPr="00FA3885">
        <w:rPr>
          <w:rFonts w:ascii="Times New Arabic" w:hAnsi="Times New Arabic" w:cs="Times New Roman"/>
          <w:kern w:val="2"/>
          <w:sz w:val="24"/>
          <w:szCs w:val="24"/>
          <w:lang w:val="sv-SE" w:eastAsia="en-US"/>
          <w14:ligatures w14:val="standardContextual"/>
        </w:rPr>
        <w:t>menyamakan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kehadiran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pasif</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dengan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partisipasi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aktif</w:t>
      </w:r>
      <w:proofErr w:type="spellEnd"/>
      <w:r w:rsidRPr="00FA3885">
        <w:rPr>
          <w:rFonts w:ascii="Times New Arabic" w:hAnsi="Times New Arabic" w:cs="Times New Roman"/>
          <w:kern w:val="2"/>
          <w:sz w:val="24"/>
          <w:szCs w:val="24"/>
          <w:lang w:val="sv-SE" w:eastAsia="en-US"/>
          <w14:ligatures w14:val="standardContextual"/>
        </w:rPr>
        <w:t xml:space="preserve">. </w:t>
      </w:r>
      <w:r w:rsidRPr="00FA3885">
        <w:rPr>
          <w:rFonts w:ascii="Times New Arabic" w:hAnsi="Times New Arabic" w:cs="Times New Roman"/>
          <w:kern w:val="2"/>
          <w:sz w:val="24"/>
          <w:szCs w:val="24"/>
          <w:lang w:val="nb-NO" w:eastAsia="en-US"/>
          <w14:ligatures w14:val="standardContextual"/>
        </w:rPr>
        <w:t>Hal ini menunjukkan bahwa batas antara toleransi budaya dan kompromi teologis belum sepenuhnya dipahami secara jelas. Narasumber menyampaikan kekhawatiran bahwa kehadiran fisik pada perayaan yang memiliki unsur ritual non-Islam dapat dipersepsikan sebagai bentuk persetujuan terhadap praktik keyakinan lain, sehingga dianggap mencederai prinsip akidah. Dalam pengamatan ini, pendekatan maqashidi atau pembacaan berdasarkan tujuan syariat tampaknya belum banyak dijadikan kerangka berpikir dalam memahami hadis ini di tingkat masyarakat umum, seperti mananya Allah SWT Berfirman:</w:t>
      </w:r>
    </w:p>
    <w:p w14:paraId="4583D0C8" w14:textId="77777777" w:rsidR="00FA3885" w:rsidRPr="00FA3885" w:rsidRDefault="00FA3885" w:rsidP="009C5EA9">
      <w:pPr>
        <w:bidi/>
        <w:spacing w:after="0" w:line="240" w:lineRule="auto"/>
        <w:jc w:val="both"/>
        <w:rPr>
          <w:rFonts w:ascii="Traditional Arabic" w:hAnsi="Traditional Arabic" w:cs="Traditional Arabic"/>
          <w:kern w:val="2"/>
          <w:sz w:val="36"/>
          <w:szCs w:val="36"/>
          <w:lang w:val="en-ID" w:eastAsia="en-US"/>
          <w14:ligatures w14:val="standardContextual"/>
        </w:rPr>
      </w:pPr>
      <w:r w:rsidRPr="00FA3885">
        <w:rPr>
          <w:rFonts w:ascii="Traditional Arabic" w:hAnsi="Traditional Arabic" w:cs="Traditional Arabic"/>
          <w:kern w:val="2"/>
          <w:sz w:val="36"/>
          <w:szCs w:val="36"/>
          <w:rtl/>
          <w:lang w:val="en-ID" w:eastAsia="en-US"/>
          <w14:ligatures w14:val="standardContextual"/>
        </w:rPr>
        <w:t xml:space="preserve">قُلْ </w:t>
      </w:r>
      <w:proofErr w:type="spellStart"/>
      <w:r w:rsidRPr="00FA3885">
        <w:rPr>
          <w:rFonts w:ascii="Traditional Arabic" w:hAnsi="Traditional Arabic" w:cs="Traditional Arabic"/>
          <w:kern w:val="2"/>
          <w:sz w:val="36"/>
          <w:szCs w:val="36"/>
          <w:rtl/>
          <w:lang w:val="en-ID" w:eastAsia="en-US"/>
          <w14:ligatures w14:val="standardContextual"/>
        </w:rPr>
        <w:t>يٰٓاَيُّهَا</w:t>
      </w:r>
      <w:proofErr w:type="spellEnd"/>
      <w:r w:rsidRPr="00FA3885">
        <w:rPr>
          <w:rFonts w:ascii="Traditional Arabic" w:hAnsi="Traditional Arabic" w:cs="Traditional Arabic"/>
          <w:kern w:val="2"/>
          <w:sz w:val="36"/>
          <w:szCs w:val="36"/>
          <w:rtl/>
          <w:lang w:val="en-ID" w:eastAsia="en-US"/>
          <w14:ligatures w14:val="standardContextual"/>
        </w:rPr>
        <w:t xml:space="preserve"> الْكٰفِرُوْنَ • </w:t>
      </w:r>
      <w:proofErr w:type="spellStart"/>
      <w:r w:rsidRPr="00FA3885">
        <w:rPr>
          <w:rFonts w:ascii="Traditional Arabic" w:hAnsi="Traditional Arabic" w:cs="Traditional Arabic"/>
          <w:kern w:val="2"/>
          <w:sz w:val="36"/>
          <w:szCs w:val="36"/>
          <w:rtl/>
          <w:lang w:val="en-ID" w:eastAsia="en-US"/>
          <w14:ligatures w14:val="standardContextual"/>
        </w:rPr>
        <w:t>لَآ</w:t>
      </w:r>
      <w:proofErr w:type="spellEnd"/>
      <w:r w:rsidRPr="00FA3885">
        <w:rPr>
          <w:rFonts w:ascii="Traditional Arabic" w:hAnsi="Traditional Arabic" w:cs="Traditional Arabic"/>
          <w:kern w:val="2"/>
          <w:sz w:val="36"/>
          <w:szCs w:val="36"/>
          <w:rtl/>
          <w:lang w:val="en-ID" w:eastAsia="en-US"/>
          <w14:ligatures w14:val="standardContextual"/>
        </w:rPr>
        <w:t xml:space="preserve"> اَعْبُدُ مَا تَعْبُدُوْنَ • </w:t>
      </w:r>
      <w:proofErr w:type="spellStart"/>
      <w:r w:rsidRPr="00FA3885">
        <w:rPr>
          <w:rFonts w:ascii="Traditional Arabic" w:hAnsi="Traditional Arabic" w:cs="Traditional Arabic"/>
          <w:kern w:val="2"/>
          <w:sz w:val="36"/>
          <w:szCs w:val="36"/>
          <w:rtl/>
          <w:lang w:val="en-ID" w:eastAsia="en-US"/>
          <w14:ligatures w14:val="standardContextual"/>
        </w:rPr>
        <w:t>وَلَآ</w:t>
      </w:r>
      <w:proofErr w:type="spellEnd"/>
      <w:r w:rsidRPr="00FA3885">
        <w:rPr>
          <w:rFonts w:ascii="Traditional Arabic" w:hAnsi="Traditional Arabic" w:cs="Traditional Arabic"/>
          <w:kern w:val="2"/>
          <w:sz w:val="36"/>
          <w:szCs w:val="36"/>
          <w:rtl/>
          <w:lang w:val="en-ID" w:eastAsia="en-US"/>
          <w14:ligatures w14:val="standardContextual"/>
        </w:rPr>
        <w:t xml:space="preserve"> اَنْتُمْ عٰبِدُوْنَ </w:t>
      </w:r>
      <w:proofErr w:type="spellStart"/>
      <w:r w:rsidRPr="00FA3885">
        <w:rPr>
          <w:rFonts w:ascii="Traditional Arabic" w:hAnsi="Traditional Arabic" w:cs="Traditional Arabic"/>
          <w:kern w:val="2"/>
          <w:sz w:val="36"/>
          <w:szCs w:val="36"/>
          <w:rtl/>
          <w:lang w:val="en-ID" w:eastAsia="en-US"/>
          <w14:ligatures w14:val="standardContextual"/>
        </w:rPr>
        <w:t>مَآ</w:t>
      </w:r>
      <w:proofErr w:type="spellEnd"/>
      <w:r w:rsidRPr="00FA3885">
        <w:rPr>
          <w:rFonts w:ascii="Traditional Arabic" w:hAnsi="Traditional Arabic" w:cs="Traditional Arabic"/>
          <w:kern w:val="2"/>
          <w:sz w:val="36"/>
          <w:szCs w:val="36"/>
          <w:rtl/>
          <w:lang w:val="en-ID" w:eastAsia="en-US"/>
          <w14:ligatures w14:val="standardContextual"/>
        </w:rPr>
        <w:t xml:space="preserve"> اَعْبُدُ • </w:t>
      </w:r>
      <w:proofErr w:type="spellStart"/>
      <w:r w:rsidRPr="00FA3885">
        <w:rPr>
          <w:rFonts w:ascii="Traditional Arabic" w:hAnsi="Traditional Arabic" w:cs="Traditional Arabic"/>
          <w:kern w:val="2"/>
          <w:sz w:val="36"/>
          <w:szCs w:val="36"/>
          <w:rtl/>
          <w:lang w:val="en-ID" w:eastAsia="en-US"/>
          <w14:ligatures w14:val="standardContextual"/>
        </w:rPr>
        <w:t>وَلَآ</w:t>
      </w:r>
      <w:proofErr w:type="spellEnd"/>
      <w:r w:rsidRPr="00FA3885">
        <w:rPr>
          <w:rFonts w:ascii="Traditional Arabic" w:hAnsi="Traditional Arabic" w:cs="Traditional Arabic"/>
          <w:kern w:val="2"/>
          <w:sz w:val="36"/>
          <w:szCs w:val="36"/>
          <w:rtl/>
          <w:lang w:val="en-ID" w:eastAsia="en-US"/>
          <w14:ligatures w14:val="standardContextual"/>
        </w:rPr>
        <w:t xml:space="preserve"> اَنَا۠ عَابِدٌ مَّا عَبَدْتُّم • </w:t>
      </w:r>
      <w:proofErr w:type="spellStart"/>
      <w:r w:rsidRPr="00FA3885">
        <w:rPr>
          <w:rFonts w:ascii="Traditional Arabic" w:hAnsi="Traditional Arabic" w:cs="Traditional Arabic"/>
          <w:kern w:val="2"/>
          <w:sz w:val="36"/>
          <w:szCs w:val="36"/>
          <w:rtl/>
          <w:lang w:val="en-ID" w:eastAsia="en-US"/>
          <w14:ligatures w14:val="standardContextual"/>
        </w:rPr>
        <w:t>وَلَآ</w:t>
      </w:r>
      <w:proofErr w:type="spellEnd"/>
      <w:r w:rsidRPr="00FA3885">
        <w:rPr>
          <w:rFonts w:ascii="Traditional Arabic" w:hAnsi="Traditional Arabic" w:cs="Traditional Arabic"/>
          <w:kern w:val="2"/>
          <w:sz w:val="36"/>
          <w:szCs w:val="36"/>
          <w:rtl/>
          <w:lang w:val="en-ID" w:eastAsia="en-US"/>
          <w14:ligatures w14:val="standardContextual"/>
        </w:rPr>
        <w:t xml:space="preserve"> اَنْتُمْ عٰبِدُوْنَ </w:t>
      </w:r>
      <w:proofErr w:type="spellStart"/>
      <w:r w:rsidRPr="00FA3885">
        <w:rPr>
          <w:rFonts w:ascii="Traditional Arabic" w:hAnsi="Traditional Arabic" w:cs="Traditional Arabic"/>
          <w:kern w:val="2"/>
          <w:sz w:val="36"/>
          <w:szCs w:val="36"/>
          <w:rtl/>
          <w:lang w:val="en-ID" w:eastAsia="en-US"/>
          <w14:ligatures w14:val="standardContextual"/>
        </w:rPr>
        <w:t>مَآ</w:t>
      </w:r>
      <w:proofErr w:type="spellEnd"/>
      <w:r w:rsidRPr="00FA3885">
        <w:rPr>
          <w:rFonts w:ascii="Traditional Arabic" w:hAnsi="Traditional Arabic" w:cs="Traditional Arabic"/>
          <w:kern w:val="2"/>
          <w:sz w:val="36"/>
          <w:szCs w:val="36"/>
          <w:rtl/>
          <w:lang w:val="en-ID" w:eastAsia="en-US"/>
          <w14:ligatures w14:val="standardContextual"/>
        </w:rPr>
        <w:t xml:space="preserve"> اَعْبُدُ • لَكُمْ دِيْنُكُمْ وَلِيَ دِيْنِ</w:t>
      </w:r>
    </w:p>
    <w:p w14:paraId="0B919FD0" w14:textId="647B9545" w:rsidR="00FA3885" w:rsidRPr="00FA3885" w:rsidRDefault="00FA3885" w:rsidP="009C5EA9">
      <w:pPr>
        <w:spacing w:after="0"/>
        <w:ind w:left="851" w:hanging="851"/>
        <w:jc w:val="both"/>
        <w:rPr>
          <w:rFonts w:ascii="Times New Arabic" w:hAnsi="Times New Arabic" w:cs="Times New Roman"/>
          <w:i/>
          <w:iCs/>
          <w:kern w:val="2"/>
          <w:sz w:val="24"/>
          <w:szCs w:val="24"/>
          <w:lang w:val="nb-NO" w:eastAsia="en-US"/>
          <w14:ligatures w14:val="standardContextual"/>
        </w:rPr>
      </w:pPr>
      <w:r w:rsidRPr="00FA3885">
        <w:rPr>
          <w:rFonts w:ascii="Times New Arabic" w:hAnsi="Times New Arabic" w:cs="Times New Roman"/>
          <w:i/>
          <w:iCs/>
          <w:kern w:val="2"/>
          <w:sz w:val="24"/>
          <w:szCs w:val="24"/>
          <w:lang w:val="nb-NO" w:eastAsia="en-US"/>
          <w14:ligatures w14:val="standardContextual"/>
        </w:rPr>
        <w:t xml:space="preserve">Artinya: Katakanlah: “Wahai orang-orang kafir! Aku </w:t>
      </w:r>
      <w:r w:rsidRPr="00FA3885">
        <w:rPr>
          <w:rFonts w:ascii="Times New Arabic" w:hAnsi="Times New Arabic" w:cs="Times New Roman"/>
          <w:i/>
          <w:iCs/>
          <w:kern w:val="2"/>
          <w:sz w:val="24"/>
          <w:szCs w:val="24"/>
          <w:lang w:val="sv-SE" w:eastAsia="en-US"/>
          <w14:ligatures w14:val="standardContextual"/>
        </w:rPr>
        <w:t>tidak</w:t>
      </w:r>
      <w:r w:rsidRPr="00FA3885">
        <w:rPr>
          <w:rFonts w:ascii="Times New Arabic" w:hAnsi="Times New Arabic" w:cs="Times New Roman"/>
          <w:i/>
          <w:iCs/>
          <w:kern w:val="2"/>
          <w:sz w:val="24"/>
          <w:szCs w:val="24"/>
          <w:lang w:val="nb-NO" w:eastAsia="en-US"/>
          <w14:ligatures w14:val="standardContextual"/>
        </w:rPr>
        <w:t xml:space="preserve"> akan menyembah apa  yang kamu sembah... Untukmu agamamu, dan untukku agamaku.”</w:t>
      </w:r>
    </w:p>
    <w:p w14:paraId="6CACAD6D" w14:textId="77777777" w:rsidR="00FA3885" w:rsidRPr="00FA3885" w:rsidRDefault="00FA3885" w:rsidP="00FA3885">
      <w:pPr>
        <w:spacing w:after="0"/>
        <w:jc w:val="both"/>
        <w:rPr>
          <w:rFonts w:ascii="Times New Arabic" w:hAnsi="Times New Arabic" w:cs="Times New Roman"/>
          <w:i/>
          <w:iCs/>
          <w:kern w:val="2"/>
          <w:sz w:val="24"/>
          <w:szCs w:val="24"/>
          <w:lang w:val="nb-NO" w:eastAsia="en-US"/>
          <w14:ligatures w14:val="standardContextual"/>
        </w:rPr>
      </w:pPr>
    </w:p>
    <w:p w14:paraId="378617A6" w14:textId="77777777" w:rsidR="00FA3885" w:rsidRPr="00FA3885" w:rsidRDefault="00FA3885" w:rsidP="00FA3885">
      <w:pPr>
        <w:spacing w:after="0"/>
        <w:ind w:firstLine="720"/>
        <w:jc w:val="both"/>
        <w:rPr>
          <w:rFonts w:ascii="Times New Arabic" w:hAnsi="Times New Arabic" w:cs="Times New Roman"/>
          <w:kern w:val="2"/>
          <w:sz w:val="24"/>
          <w:szCs w:val="24"/>
          <w:lang w:val="sv-SE"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Ayat ini menegaskan prinsip eksklusivitas akidah dalam Islam. </w:t>
      </w:r>
      <w:proofErr w:type="spellStart"/>
      <w:r w:rsidRPr="00FA3885">
        <w:rPr>
          <w:rFonts w:ascii="Times New Arabic" w:hAnsi="Times New Arabic" w:cs="Times New Roman"/>
          <w:kern w:val="2"/>
          <w:sz w:val="24"/>
          <w:szCs w:val="24"/>
          <w:lang w:val="sv-SE" w:eastAsia="en-US"/>
          <w14:ligatures w14:val="standardContextual"/>
        </w:rPr>
        <w:t>Rasulullah</w:t>
      </w:r>
      <w:proofErr w:type="spellEnd"/>
      <w:r w:rsidRPr="00FA3885">
        <w:rPr>
          <w:rFonts w:ascii="Times New Arabic" w:hAnsi="Times New Arabic" w:cs="Times New Roman"/>
          <w:kern w:val="2"/>
          <w:sz w:val="24"/>
          <w:szCs w:val="24"/>
          <w:lang w:val="sv-SE" w:eastAsia="en-US"/>
          <w14:ligatures w14:val="standardContextual"/>
        </w:rPr>
        <w:t xml:space="preserve"> SAW </w:t>
      </w:r>
      <w:proofErr w:type="spellStart"/>
      <w:r w:rsidRPr="00FA3885">
        <w:rPr>
          <w:rFonts w:ascii="Times New Arabic" w:hAnsi="Times New Arabic" w:cs="Times New Roman"/>
          <w:kern w:val="2"/>
          <w:sz w:val="24"/>
          <w:szCs w:val="24"/>
          <w:lang w:val="sv-SE" w:eastAsia="en-US"/>
          <w14:ligatures w14:val="standardContextual"/>
        </w:rPr>
        <w:t>dengan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tegas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menyatakan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pemisahan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antara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keyakinan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umat</w:t>
      </w:r>
      <w:proofErr w:type="spellEnd"/>
      <w:r w:rsidRPr="00FA3885">
        <w:rPr>
          <w:rFonts w:ascii="Times New Arabic" w:hAnsi="Times New Arabic" w:cs="Times New Roman"/>
          <w:kern w:val="2"/>
          <w:sz w:val="24"/>
          <w:szCs w:val="24"/>
          <w:lang w:val="sv-SE" w:eastAsia="en-US"/>
          <w14:ligatures w14:val="standardContextual"/>
        </w:rPr>
        <w:t xml:space="preserve"> Islam dan </w:t>
      </w:r>
      <w:proofErr w:type="spellStart"/>
      <w:r w:rsidRPr="00FA3885">
        <w:rPr>
          <w:rFonts w:ascii="Times New Arabic" w:hAnsi="Times New Arabic" w:cs="Times New Roman"/>
          <w:kern w:val="2"/>
          <w:sz w:val="24"/>
          <w:szCs w:val="24"/>
          <w:lang w:val="sv-SE" w:eastAsia="en-US"/>
          <w14:ligatures w14:val="standardContextual"/>
        </w:rPr>
        <w:t>agama-agama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lain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Dalam</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konteks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kehadiran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pada</w:t>
      </w:r>
      <w:proofErr w:type="spellEnd"/>
      <w:r w:rsidRPr="00FA3885">
        <w:rPr>
          <w:rFonts w:ascii="Times New Arabic" w:hAnsi="Times New Arabic" w:cs="Times New Roman"/>
          <w:kern w:val="2"/>
          <w:sz w:val="24"/>
          <w:szCs w:val="24"/>
          <w:lang w:val="sv-SE" w:eastAsia="en-US"/>
          <w14:ligatures w14:val="standardContextual"/>
        </w:rPr>
        <w:t xml:space="preserve"> ritual non-Islam </w:t>
      </w:r>
      <w:proofErr w:type="spellStart"/>
      <w:r w:rsidRPr="00FA3885">
        <w:rPr>
          <w:rFonts w:ascii="Times New Arabic" w:hAnsi="Times New Arabic" w:cs="Times New Roman"/>
          <w:kern w:val="2"/>
          <w:sz w:val="24"/>
          <w:szCs w:val="24"/>
          <w:lang w:val="sv-SE" w:eastAsia="en-US"/>
          <w14:ligatures w14:val="standardContextual"/>
        </w:rPr>
        <w:t>seperti</w:t>
      </w:r>
      <w:proofErr w:type="spellEnd"/>
      <w:r w:rsidRPr="00FA3885">
        <w:rPr>
          <w:rFonts w:ascii="Times New Arabic" w:hAnsi="Times New Arabic" w:cs="Times New Roman"/>
          <w:kern w:val="2"/>
          <w:sz w:val="24"/>
          <w:szCs w:val="24"/>
          <w:lang w:val="sv-SE" w:eastAsia="en-US"/>
          <w14:ligatures w14:val="standardContextual"/>
        </w:rPr>
        <w:t xml:space="preserve"> Bakar </w:t>
      </w:r>
      <w:proofErr w:type="spellStart"/>
      <w:r w:rsidRPr="00FA3885">
        <w:rPr>
          <w:rFonts w:ascii="Times New Arabic" w:hAnsi="Times New Arabic" w:cs="Times New Roman"/>
          <w:kern w:val="2"/>
          <w:sz w:val="24"/>
          <w:szCs w:val="24"/>
          <w:lang w:val="sv-SE" w:eastAsia="en-US"/>
          <w14:ligatures w14:val="standardContextual"/>
        </w:rPr>
        <w:t>Tongkang</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ayat</w:t>
      </w:r>
      <w:proofErr w:type="spellEnd"/>
      <w:r w:rsidRPr="00FA3885">
        <w:rPr>
          <w:rFonts w:ascii="Times New Arabic" w:hAnsi="Times New Arabic" w:cs="Times New Roman"/>
          <w:kern w:val="2"/>
          <w:sz w:val="24"/>
          <w:szCs w:val="24"/>
          <w:lang w:val="sv-SE" w:eastAsia="en-US"/>
          <w14:ligatures w14:val="standardContextual"/>
        </w:rPr>
        <w:t xml:space="preserve"> ini </w:t>
      </w:r>
      <w:proofErr w:type="spellStart"/>
      <w:r w:rsidRPr="00FA3885">
        <w:rPr>
          <w:rFonts w:ascii="Times New Arabic" w:hAnsi="Times New Arabic" w:cs="Times New Roman"/>
          <w:kern w:val="2"/>
          <w:sz w:val="24"/>
          <w:szCs w:val="24"/>
          <w:lang w:val="sv-SE" w:eastAsia="en-US"/>
          <w14:ligatures w14:val="standardContextual"/>
        </w:rPr>
        <w:t>menjadi</w:t>
      </w:r>
      <w:proofErr w:type="spellEnd"/>
      <w:r w:rsidRPr="00FA3885">
        <w:rPr>
          <w:rFonts w:ascii="Times New Arabic" w:hAnsi="Times New Arabic" w:cs="Times New Roman"/>
          <w:kern w:val="2"/>
          <w:sz w:val="24"/>
          <w:szCs w:val="24"/>
          <w:lang w:val="sv-SE" w:eastAsia="en-US"/>
          <w14:ligatures w14:val="standardContextual"/>
        </w:rPr>
        <w:t xml:space="preserve"> dasar </w:t>
      </w:r>
      <w:proofErr w:type="spellStart"/>
      <w:r w:rsidRPr="00FA3885">
        <w:rPr>
          <w:rFonts w:ascii="Times New Arabic" w:hAnsi="Times New Arabic" w:cs="Times New Roman"/>
          <w:kern w:val="2"/>
          <w:sz w:val="24"/>
          <w:szCs w:val="24"/>
          <w:lang w:val="sv-SE" w:eastAsia="en-US"/>
          <w14:ligatures w14:val="standardContextual"/>
        </w:rPr>
        <w:t>bahwa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umat</w:t>
      </w:r>
      <w:proofErr w:type="spellEnd"/>
      <w:r w:rsidRPr="00FA3885">
        <w:rPr>
          <w:rFonts w:ascii="Times New Arabic" w:hAnsi="Times New Arabic" w:cs="Times New Roman"/>
          <w:kern w:val="2"/>
          <w:sz w:val="24"/>
          <w:szCs w:val="24"/>
          <w:lang w:val="sv-SE" w:eastAsia="en-US"/>
          <w14:ligatures w14:val="standardContextual"/>
        </w:rPr>
        <w:t xml:space="preserve"> Islam </w:t>
      </w:r>
      <w:proofErr w:type="spellStart"/>
      <w:r w:rsidRPr="00FA3885">
        <w:rPr>
          <w:rFonts w:ascii="Times New Arabic" w:hAnsi="Times New Arabic" w:cs="Times New Roman"/>
          <w:kern w:val="2"/>
          <w:sz w:val="24"/>
          <w:szCs w:val="24"/>
          <w:lang w:val="sv-SE" w:eastAsia="en-US"/>
          <w14:ligatures w14:val="standardContextual"/>
        </w:rPr>
        <w:t>harus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menjaga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batas</w:t>
      </w:r>
      <w:proofErr w:type="spellEnd"/>
      <w:r w:rsidRPr="00FA3885">
        <w:rPr>
          <w:rFonts w:ascii="Times New Arabic" w:hAnsi="Times New Arabic" w:cs="Times New Roman"/>
          <w:kern w:val="2"/>
          <w:sz w:val="24"/>
          <w:szCs w:val="24"/>
          <w:lang w:val="sv-SE" w:eastAsia="en-US"/>
          <w14:ligatures w14:val="standardContextual"/>
        </w:rPr>
        <w:t xml:space="preserve"> teologis </w:t>
      </w:r>
      <w:proofErr w:type="spellStart"/>
      <w:r w:rsidRPr="00FA3885">
        <w:rPr>
          <w:rFonts w:ascii="Times New Arabic" w:hAnsi="Times New Arabic" w:cs="Times New Roman"/>
          <w:kern w:val="2"/>
          <w:sz w:val="24"/>
          <w:szCs w:val="24"/>
          <w:lang w:val="sv-SE" w:eastAsia="en-US"/>
          <w14:ligatures w14:val="standardContextual"/>
        </w:rPr>
        <w:t>dengan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tidak</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mencampurkan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identitas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ibadah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mereka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dengan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simbol-simbol</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agama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lain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meskipun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dalam</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bentuk</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partisipasi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pasif</w:t>
      </w:r>
      <w:proofErr w:type="spellEnd"/>
      <w:r w:rsidRPr="00FA3885">
        <w:rPr>
          <w:rFonts w:ascii="Times New Arabic" w:hAnsi="Times New Arabic" w:cs="Times New Roman"/>
          <w:kern w:val="2"/>
          <w:sz w:val="24"/>
          <w:szCs w:val="24"/>
          <w:lang w:val="sv-SE" w:eastAsia="en-US"/>
          <w14:ligatures w14:val="standardContextual"/>
        </w:rPr>
        <w:t>.</w:t>
      </w:r>
    </w:p>
    <w:p w14:paraId="2E460842" w14:textId="77777777" w:rsidR="00FA3885" w:rsidRPr="00FA3885" w:rsidRDefault="00FA3885" w:rsidP="00FA3885">
      <w:pPr>
        <w:spacing w:after="0"/>
        <w:ind w:firstLine="720"/>
        <w:jc w:val="both"/>
        <w:rPr>
          <w:rFonts w:ascii="Times New Arabic" w:hAnsi="Times New Arabic" w:cs="Times New Roman"/>
          <w:kern w:val="2"/>
          <w:sz w:val="24"/>
          <w:szCs w:val="24"/>
          <w:lang w:val="sv-SE" w:eastAsia="en-US"/>
          <w14:ligatures w14:val="standardContextual"/>
        </w:rPr>
      </w:pPr>
      <w:proofErr w:type="spellStart"/>
      <w:r w:rsidRPr="00FA3885">
        <w:rPr>
          <w:rFonts w:ascii="Times New Arabic" w:hAnsi="Times New Arabic" w:cs="Times New Roman"/>
          <w:kern w:val="2"/>
          <w:sz w:val="24"/>
          <w:szCs w:val="24"/>
          <w:lang w:val="sv-SE" w:eastAsia="en-US"/>
          <w14:ligatures w14:val="standardContextual"/>
        </w:rPr>
        <w:t>Secara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historis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pemahaman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tentang</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tasyabbuh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telah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dirumuskan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secara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ketat</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oleh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ulama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klasik</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seperti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Ibn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Taimiyyah</w:t>
      </w:r>
      <w:proofErr w:type="spellEnd"/>
      <w:r w:rsidRPr="00FA3885">
        <w:rPr>
          <w:rFonts w:ascii="Times New Arabic" w:hAnsi="Times New Arabic" w:cs="Times New Roman"/>
          <w:kern w:val="2"/>
          <w:sz w:val="24"/>
          <w:szCs w:val="24"/>
          <w:lang w:val="sv-SE" w:eastAsia="en-US"/>
          <w14:ligatures w14:val="standardContextual"/>
        </w:rPr>
        <w:t xml:space="preserve">, yang </w:t>
      </w:r>
      <w:proofErr w:type="spellStart"/>
      <w:r w:rsidRPr="00FA3885">
        <w:rPr>
          <w:rFonts w:ascii="Times New Arabic" w:hAnsi="Times New Arabic" w:cs="Times New Roman"/>
          <w:kern w:val="2"/>
          <w:sz w:val="24"/>
          <w:szCs w:val="24"/>
          <w:lang w:val="sv-SE" w:eastAsia="en-US"/>
          <w14:ligatures w14:val="standardContextual"/>
        </w:rPr>
        <w:t>dalam</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Iqti</w:t>
      </w:r>
      <w:r w:rsidRPr="00FA3885">
        <w:rPr>
          <w:rFonts w:ascii="Cambria" w:hAnsi="Cambria" w:cs="Cambria"/>
          <w:i/>
          <w:iCs/>
          <w:kern w:val="2"/>
          <w:sz w:val="24"/>
          <w:szCs w:val="24"/>
          <w:lang w:val="sv-SE" w:eastAsia="en-US"/>
          <w14:ligatures w14:val="standardContextual"/>
        </w:rPr>
        <w:t>ḍā</w:t>
      </w:r>
      <w:proofErr w:type="spellEnd"/>
      <w:r w:rsidRPr="00FA3885">
        <w:rPr>
          <w:rFonts w:ascii="Times New Arabic" w:hAnsi="Times New Arabic" w:cs="Times New Arabic"/>
          <w:i/>
          <w:iCs/>
          <w:kern w:val="2"/>
          <w:sz w:val="24"/>
          <w:szCs w:val="24"/>
          <w:lang w:val="sv-SE" w:eastAsia="en-US"/>
          <w14:ligatures w14:val="standardContextual"/>
        </w:rPr>
        <w:t>’</w:t>
      </w:r>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a</w:t>
      </w:r>
      <w:r w:rsidRPr="00FA3885">
        <w:rPr>
          <w:rFonts w:ascii="Cambria" w:hAnsi="Cambria" w:cs="Cambria"/>
          <w:i/>
          <w:iCs/>
          <w:kern w:val="2"/>
          <w:sz w:val="24"/>
          <w:szCs w:val="24"/>
          <w:lang w:val="sv-SE" w:eastAsia="en-US"/>
          <w14:ligatures w14:val="standardContextual"/>
        </w:rPr>
        <w:t>ṣ</w:t>
      </w:r>
      <w:r w:rsidRPr="00FA3885">
        <w:rPr>
          <w:rFonts w:ascii="Times New Arabic" w:hAnsi="Times New Arabic" w:cs="Times New Roman"/>
          <w:i/>
          <w:iCs/>
          <w:kern w:val="2"/>
          <w:sz w:val="24"/>
          <w:szCs w:val="24"/>
          <w:lang w:val="sv-SE" w:eastAsia="en-US"/>
          <w14:ligatures w14:val="standardContextual"/>
        </w:rPr>
        <w:t>-</w:t>
      </w:r>
      <w:r w:rsidRPr="00FA3885">
        <w:rPr>
          <w:rFonts w:ascii="Cambria" w:hAnsi="Cambria" w:cs="Cambria"/>
          <w:i/>
          <w:iCs/>
          <w:kern w:val="2"/>
          <w:sz w:val="24"/>
          <w:szCs w:val="24"/>
          <w:lang w:val="sv-SE" w:eastAsia="en-US"/>
          <w14:ligatures w14:val="standardContextual"/>
        </w:rPr>
        <w:t>ṣ</w:t>
      </w:r>
      <w:r w:rsidRPr="00FA3885">
        <w:rPr>
          <w:rFonts w:ascii="Times New Arabic" w:hAnsi="Times New Arabic" w:cs="Times New Roman"/>
          <w:i/>
          <w:iCs/>
          <w:kern w:val="2"/>
          <w:sz w:val="24"/>
          <w:szCs w:val="24"/>
          <w:lang w:val="sv-SE" w:eastAsia="en-US"/>
          <w14:ligatures w14:val="standardContextual"/>
        </w:rPr>
        <w:t>ir</w:t>
      </w:r>
      <w:r w:rsidRPr="00FA3885">
        <w:rPr>
          <w:rFonts w:ascii="Cambria" w:hAnsi="Cambria" w:cs="Cambria"/>
          <w:i/>
          <w:iCs/>
          <w:kern w:val="2"/>
          <w:sz w:val="24"/>
          <w:szCs w:val="24"/>
          <w:lang w:val="sv-SE" w:eastAsia="en-US"/>
          <w14:ligatures w14:val="standardContextual"/>
        </w:rPr>
        <w:t>āṭ</w:t>
      </w:r>
      <w:proofErr w:type="spellEnd"/>
      <w:r w:rsidRPr="00FA3885">
        <w:rPr>
          <w:rFonts w:ascii="Times New Arabic" w:hAnsi="Times New Arabic" w:cs="Times New Roman"/>
          <w:i/>
          <w:iCs/>
          <w:kern w:val="2"/>
          <w:sz w:val="24"/>
          <w:szCs w:val="24"/>
          <w:lang w:val="sv-SE" w:eastAsia="en-US"/>
          <w14:ligatures w14:val="standardContextual"/>
        </w:rPr>
        <w:t xml:space="preserve"> al-</w:t>
      </w:r>
      <w:proofErr w:type="spellStart"/>
      <w:r w:rsidRPr="00FA3885">
        <w:rPr>
          <w:rFonts w:ascii="Times New Arabic" w:hAnsi="Times New Arabic" w:cs="Times New Roman"/>
          <w:i/>
          <w:iCs/>
          <w:kern w:val="2"/>
          <w:sz w:val="24"/>
          <w:szCs w:val="24"/>
          <w:lang w:val="sv-SE" w:eastAsia="en-US"/>
          <w14:ligatures w14:val="standardContextual"/>
        </w:rPr>
        <w:t>mustaq</w:t>
      </w:r>
      <w:r w:rsidRPr="00FA3885">
        <w:rPr>
          <w:rFonts w:ascii="Cambria" w:hAnsi="Cambria" w:cs="Cambria"/>
          <w:i/>
          <w:iCs/>
          <w:kern w:val="2"/>
          <w:sz w:val="24"/>
          <w:szCs w:val="24"/>
          <w:lang w:val="sv-SE" w:eastAsia="en-US"/>
          <w14:ligatures w14:val="standardContextual"/>
        </w:rPr>
        <w:t>ī</w:t>
      </w:r>
      <w:r w:rsidRPr="00FA3885">
        <w:rPr>
          <w:rFonts w:ascii="Times New Arabic" w:hAnsi="Times New Arabic" w:cs="Times New Roman"/>
          <w:i/>
          <w:iCs/>
          <w:kern w:val="2"/>
          <w:sz w:val="24"/>
          <w:szCs w:val="24"/>
          <w:lang w:val="sv-SE" w:eastAsia="en-US"/>
          <w14:ligatures w14:val="standardContextual"/>
        </w:rPr>
        <w:t>m</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f</w:t>
      </w:r>
      <w:r w:rsidRPr="00FA3885">
        <w:rPr>
          <w:rFonts w:ascii="Cambria" w:hAnsi="Cambria" w:cs="Cambria"/>
          <w:i/>
          <w:iCs/>
          <w:kern w:val="2"/>
          <w:sz w:val="24"/>
          <w:szCs w:val="24"/>
          <w:lang w:val="sv-SE" w:eastAsia="en-US"/>
          <w14:ligatures w14:val="standardContextual"/>
        </w:rPr>
        <w:t>ī</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mukh</w:t>
      </w:r>
      <w:r w:rsidRPr="00FA3885">
        <w:rPr>
          <w:rFonts w:ascii="Cambria" w:hAnsi="Cambria" w:cs="Cambria"/>
          <w:i/>
          <w:iCs/>
          <w:kern w:val="2"/>
          <w:sz w:val="24"/>
          <w:szCs w:val="24"/>
          <w:lang w:val="sv-SE" w:eastAsia="en-US"/>
          <w14:ligatures w14:val="standardContextual"/>
        </w:rPr>
        <w:t>ā</w:t>
      </w:r>
      <w:r w:rsidRPr="00FA3885">
        <w:rPr>
          <w:rFonts w:ascii="Times New Arabic" w:hAnsi="Times New Arabic" w:cs="Times New Roman"/>
          <w:i/>
          <w:iCs/>
          <w:kern w:val="2"/>
          <w:sz w:val="24"/>
          <w:szCs w:val="24"/>
          <w:lang w:val="sv-SE" w:eastAsia="en-US"/>
          <w14:ligatures w14:val="standardContextual"/>
        </w:rPr>
        <w:t>lafat</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a</w:t>
      </w:r>
      <w:r w:rsidRPr="00FA3885">
        <w:rPr>
          <w:rFonts w:ascii="Cambria" w:hAnsi="Cambria" w:cs="Cambria"/>
          <w:i/>
          <w:iCs/>
          <w:kern w:val="2"/>
          <w:sz w:val="24"/>
          <w:szCs w:val="24"/>
          <w:lang w:val="sv-SE" w:eastAsia="en-US"/>
          <w14:ligatures w14:val="standardContextual"/>
        </w:rPr>
        <w:t>ṣḥā</w:t>
      </w:r>
      <w:r w:rsidRPr="00FA3885">
        <w:rPr>
          <w:rFonts w:ascii="Times New Arabic" w:hAnsi="Times New Arabic" w:cs="Times New Roman"/>
          <w:i/>
          <w:iCs/>
          <w:kern w:val="2"/>
          <w:sz w:val="24"/>
          <w:szCs w:val="24"/>
          <w:lang w:val="sv-SE" w:eastAsia="en-US"/>
          <w14:ligatures w14:val="standardContextual"/>
        </w:rPr>
        <w:t>b</w:t>
      </w:r>
      <w:proofErr w:type="spellEnd"/>
      <w:r w:rsidRPr="00FA3885">
        <w:rPr>
          <w:rFonts w:ascii="Times New Arabic" w:hAnsi="Times New Arabic" w:cs="Times New Roman"/>
          <w:i/>
          <w:iCs/>
          <w:kern w:val="2"/>
          <w:sz w:val="24"/>
          <w:szCs w:val="24"/>
          <w:lang w:val="sv-SE" w:eastAsia="en-US"/>
          <w14:ligatures w14:val="standardContextual"/>
        </w:rPr>
        <w:t xml:space="preserve"> al-</w:t>
      </w:r>
      <w:proofErr w:type="spellStart"/>
      <w:r w:rsidRPr="00FA3885">
        <w:rPr>
          <w:rFonts w:ascii="Times New Arabic" w:hAnsi="Times New Arabic" w:cs="Times New Roman"/>
          <w:i/>
          <w:iCs/>
          <w:kern w:val="2"/>
          <w:sz w:val="24"/>
          <w:szCs w:val="24"/>
          <w:lang w:val="sv-SE" w:eastAsia="en-US"/>
          <w14:ligatures w14:val="standardContextual"/>
        </w:rPr>
        <w:t>ja</w:t>
      </w:r>
      <w:r w:rsidRPr="00FA3885">
        <w:rPr>
          <w:rFonts w:ascii="Cambria" w:hAnsi="Cambria" w:cs="Cambria"/>
          <w:i/>
          <w:iCs/>
          <w:kern w:val="2"/>
          <w:sz w:val="24"/>
          <w:szCs w:val="24"/>
          <w:lang w:val="sv-SE" w:eastAsia="en-US"/>
          <w14:ligatures w14:val="standardContextual"/>
        </w:rPr>
        <w:t>ḥī</w:t>
      </w:r>
      <w:r w:rsidRPr="00FA3885">
        <w:rPr>
          <w:rFonts w:ascii="Times New Arabic" w:hAnsi="Times New Arabic" w:cs="Times New Roman"/>
          <w:i/>
          <w:iCs/>
          <w:kern w:val="2"/>
          <w:sz w:val="24"/>
          <w:szCs w:val="24"/>
          <w:lang w:val="sv-SE" w:eastAsia="en-US"/>
          <w14:ligatures w14:val="standardContextual"/>
        </w:rPr>
        <w:t>m</w:t>
      </w:r>
      <w:proofErr w:type="spellEnd"/>
      <w:r w:rsidRPr="00FA3885">
        <w:rPr>
          <w:rFonts w:ascii="Times New Arabic" w:hAnsi="Times New Arabic" w:cs="Times New Roman"/>
          <w:i/>
          <w:iCs/>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menekankan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perlunya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menjaga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jarak</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antara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umat</w:t>
      </w:r>
      <w:proofErr w:type="spellEnd"/>
      <w:r w:rsidRPr="00FA3885">
        <w:rPr>
          <w:rFonts w:ascii="Times New Arabic" w:hAnsi="Times New Arabic" w:cs="Times New Roman"/>
          <w:kern w:val="2"/>
          <w:sz w:val="24"/>
          <w:szCs w:val="24"/>
          <w:lang w:val="sv-SE" w:eastAsia="en-US"/>
          <w14:ligatures w14:val="standardContextual"/>
        </w:rPr>
        <w:t xml:space="preserve"> Islam </w:t>
      </w:r>
      <w:proofErr w:type="gramStart"/>
      <w:r w:rsidRPr="00FA3885">
        <w:rPr>
          <w:rFonts w:ascii="Times New Arabic" w:hAnsi="Times New Arabic" w:cs="Times New Roman"/>
          <w:kern w:val="2"/>
          <w:sz w:val="24"/>
          <w:szCs w:val="24"/>
          <w:lang w:val="sv-SE" w:eastAsia="en-US"/>
          <w14:ligatures w14:val="standardContextual"/>
        </w:rPr>
        <w:t>dan praktik</w:t>
      </w:r>
      <w:proofErr w:type="gram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keagamaan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kaum</w:t>
      </w:r>
      <w:proofErr w:type="spellEnd"/>
      <w:r w:rsidRPr="00FA3885">
        <w:rPr>
          <w:rFonts w:ascii="Times New Arabic" w:hAnsi="Times New Arabic" w:cs="Times New Roman"/>
          <w:kern w:val="2"/>
          <w:sz w:val="24"/>
          <w:szCs w:val="24"/>
          <w:lang w:val="sv-SE" w:eastAsia="en-US"/>
          <w14:ligatures w14:val="standardContextual"/>
        </w:rPr>
        <w:t xml:space="preserve"> non-Muslim </w:t>
      </w:r>
      <w:proofErr w:type="spellStart"/>
      <w:r w:rsidRPr="00FA3885">
        <w:rPr>
          <w:rFonts w:ascii="Times New Arabic" w:hAnsi="Times New Arabic" w:cs="Times New Roman"/>
          <w:kern w:val="2"/>
          <w:sz w:val="24"/>
          <w:szCs w:val="24"/>
          <w:lang w:val="sv-SE" w:eastAsia="en-US"/>
          <w14:ligatures w14:val="standardContextual"/>
        </w:rPr>
        <w:t>demi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melindungi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kemurnian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akidah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Pemikiran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Ibn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Taimiyyah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mewakili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paradigma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protektif</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terhadap</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identitas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keislaman</w:t>
      </w:r>
      <w:proofErr w:type="spellEnd"/>
      <w:r w:rsidRPr="00FA3885">
        <w:rPr>
          <w:rFonts w:ascii="Times New Arabic" w:hAnsi="Times New Arabic" w:cs="Times New Roman"/>
          <w:kern w:val="2"/>
          <w:sz w:val="24"/>
          <w:szCs w:val="24"/>
          <w:lang w:val="sv-SE" w:eastAsia="en-US"/>
          <w14:ligatures w14:val="standardContextual"/>
        </w:rPr>
        <w:t xml:space="preserve"> yang </w:t>
      </w:r>
      <w:proofErr w:type="spellStart"/>
      <w:r w:rsidRPr="00FA3885">
        <w:rPr>
          <w:rFonts w:ascii="Times New Arabic" w:hAnsi="Times New Arabic" w:cs="Times New Roman"/>
          <w:kern w:val="2"/>
          <w:sz w:val="24"/>
          <w:szCs w:val="24"/>
          <w:lang w:val="sv-SE" w:eastAsia="en-US"/>
          <w14:ligatures w14:val="standardContextual"/>
        </w:rPr>
        <w:t>dibentuk</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oleh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konteks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konflik</w:t>
      </w:r>
      <w:proofErr w:type="spellEnd"/>
      <w:r w:rsidRPr="00FA3885">
        <w:rPr>
          <w:rFonts w:ascii="Times New Arabic" w:hAnsi="Times New Arabic" w:cs="Times New Roman"/>
          <w:kern w:val="2"/>
          <w:sz w:val="24"/>
          <w:szCs w:val="24"/>
          <w:lang w:val="sv-SE" w:eastAsia="en-US"/>
          <w14:ligatures w14:val="standardContextual"/>
        </w:rPr>
        <w:t xml:space="preserve"> dan </w:t>
      </w:r>
      <w:proofErr w:type="spellStart"/>
      <w:r w:rsidRPr="00FA3885">
        <w:rPr>
          <w:rFonts w:ascii="Times New Arabic" w:hAnsi="Times New Arabic" w:cs="Times New Roman"/>
          <w:kern w:val="2"/>
          <w:sz w:val="24"/>
          <w:szCs w:val="24"/>
          <w:lang w:val="sv-SE" w:eastAsia="en-US"/>
          <w14:ligatures w14:val="standardContextual"/>
        </w:rPr>
        <w:t>perbedaan</w:t>
      </w:r>
      <w:proofErr w:type="spellEnd"/>
      <w:r w:rsidRPr="00FA3885">
        <w:rPr>
          <w:rFonts w:ascii="Times New Arabic" w:hAnsi="Times New Arabic" w:cs="Times New Roman"/>
          <w:kern w:val="2"/>
          <w:sz w:val="24"/>
          <w:szCs w:val="24"/>
          <w:lang w:val="sv-SE" w:eastAsia="en-US"/>
          <w14:ligatures w14:val="standardContextual"/>
        </w:rPr>
        <w:t xml:space="preserve"> teologis yang </w:t>
      </w:r>
      <w:proofErr w:type="spellStart"/>
      <w:r w:rsidRPr="00FA3885">
        <w:rPr>
          <w:rFonts w:ascii="Times New Arabic" w:hAnsi="Times New Arabic" w:cs="Times New Roman"/>
          <w:kern w:val="2"/>
          <w:sz w:val="24"/>
          <w:szCs w:val="24"/>
          <w:lang w:val="sv-SE" w:eastAsia="en-US"/>
          <w14:ligatures w14:val="standardContextual"/>
        </w:rPr>
        <w:t>kuat</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pada</w:t>
      </w:r>
      <w:proofErr w:type="spellEnd"/>
      <w:r w:rsidRPr="00FA3885">
        <w:rPr>
          <w:rFonts w:ascii="Times New Arabic" w:hAnsi="Times New Arabic" w:cs="Times New Roman"/>
          <w:kern w:val="2"/>
          <w:sz w:val="24"/>
          <w:szCs w:val="24"/>
          <w:lang w:val="sv-SE" w:eastAsia="en-US"/>
          <w14:ligatures w14:val="standardContextual"/>
        </w:rPr>
        <w:t xml:space="preserve"> masa itu.</w:t>
      </w:r>
      <w:r w:rsidRPr="00FA3885">
        <w:rPr>
          <w:rFonts w:ascii="Times New Arabic" w:hAnsi="Times New Arabic" w:cs="Times New Roman"/>
          <w:kern w:val="2"/>
          <w:sz w:val="24"/>
          <w:szCs w:val="24"/>
          <w:vertAlign w:val="superscript"/>
          <w:lang w:val="en-ID" w:eastAsia="en-US"/>
          <w14:ligatures w14:val="standardContextual"/>
        </w:rPr>
        <w:footnoteReference w:id="17"/>
      </w:r>
    </w:p>
    <w:p w14:paraId="4FB7945B"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proofErr w:type="spellStart"/>
      <w:r w:rsidRPr="00FA3885">
        <w:rPr>
          <w:rFonts w:ascii="Times New Arabic" w:hAnsi="Times New Arabic" w:cs="Times New Roman"/>
          <w:kern w:val="2"/>
          <w:sz w:val="24"/>
          <w:szCs w:val="24"/>
          <w:lang w:val="sv-SE" w:eastAsia="en-US"/>
          <w14:ligatures w14:val="standardContextual"/>
        </w:rPr>
        <w:t>Namun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dalam</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konteks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kontemporer</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ulama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seperti</w:t>
      </w:r>
      <w:proofErr w:type="spellEnd"/>
      <w:r w:rsidRPr="00FA3885">
        <w:rPr>
          <w:rFonts w:ascii="Times New Arabic" w:hAnsi="Times New Arabic" w:cs="Times New Roman"/>
          <w:kern w:val="2"/>
          <w:sz w:val="24"/>
          <w:szCs w:val="24"/>
          <w:lang w:val="sv-SE" w:eastAsia="en-US"/>
          <w14:ligatures w14:val="standardContextual"/>
        </w:rPr>
        <w:t xml:space="preserve"> Yusuf al-</w:t>
      </w:r>
      <w:proofErr w:type="spellStart"/>
      <w:r w:rsidRPr="00FA3885">
        <w:rPr>
          <w:rFonts w:ascii="Times New Arabic" w:hAnsi="Times New Arabic" w:cs="Times New Roman"/>
          <w:kern w:val="2"/>
          <w:sz w:val="24"/>
          <w:szCs w:val="24"/>
          <w:lang w:val="sv-SE" w:eastAsia="en-US"/>
          <w14:ligatures w14:val="standardContextual"/>
        </w:rPr>
        <w:t>Qaradawi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melalui</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pendekatan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i/>
          <w:iCs/>
          <w:kern w:val="2"/>
          <w:sz w:val="24"/>
          <w:szCs w:val="24"/>
          <w:lang w:val="sv-SE" w:eastAsia="en-US"/>
          <w14:ligatures w14:val="standardContextual"/>
        </w:rPr>
        <w:t>Fiqh</w:t>
      </w:r>
      <w:proofErr w:type="spellEnd"/>
      <w:r w:rsidRPr="00FA3885">
        <w:rPr>
          <w:rFonts w:ascii="Times New Arabic" w:hAnsi="Times New Arabic" w:cs="Times New Roman"/>
          <w:i/>
          <w:iCs/>
          <w:kern w:val="2"/>
          <w:sz w:val="24"/>
          <w:szCs w:val="24"/>
          <w:lang w:val="sv-SE" w:eastAsia="en-US"/>
          <w14:ligatures w14:val="standardContextual"/>
        </w:rPr>
        <w:t xml:space="preserve"> al-</w:t>
      </w:r>
      <w:proofErr w:type="spellStart"/>
      <w:r w:rsidRPr="00FA3885">
        <w:rPr>
          <w:rFonts w:ascii="Times New Arabic" w:hAnsi="Times New Arabic" w:cs="Times New Roman"/>
          <w:i/>
          <w:iCs/>
          <w:kern w:val="2"/>
          <w:sz w:val="24"/>
          <w:szCs w:val="24"/>
          <w:lang w:val="sv-SE" w:eastAsia="en-US"/>
          <w14:ligatures w14:val="standardContextual"/>
        </w:rPr>
        <w:t>Awlawiyy</w:t>
      </w:r>
      <w:r w:rsidRPr="00FA3885">
        <w:rPr>
          <w:rFonts w:ascii="Cambria" w:hAnsi="Cambria" w:cs="Cambria"/>
          <w:i/>
          <w:iCs/>
          <w:kern w:val="2"/>
          <w:sz w:val="24"/>
          <w:szCs w:val="24"/>
          <w:lang w:val="sv-SE" w:eastAsia="en-US"/>
          <w14:ligatures w14:val="standardContextual"/>
        </w:rPr>
        <w:t>ā</w:t>
      </w:r>
      <w:r w:rsidRPr="00FA3885">
        <w:rPr>
          <w:rFonts w:ascii="Times New Arabic" w:hAnsi="Times New Arabic" w:cs="Times New Roman"/>
          <w:i/>
          <w:iCs/>
          <w:kern w:val="2"/>
          <w:sz w:val="24"/>
          <w:szCs w:val="24"/>
          <w:lang w:val="sv-SE" w:eastAsia="en-US"/>
          <w14:ligatures w14:val="standardContextual"/>
        </w:rPr>
        <w:t>t</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menawarkan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pandangan</w:t>
      </w:r>
      <w:proofErr w:type="spellEnd"/>
      <w:r w:rsidRPr="00FA3885">
        <w:rPr>
          <w:rFonts w:ascii="Times New Arabic" w:hAnsi="Times New Arabic" w:cs="Times New Roman"/>
          <w:kern w:val="2"/>
          <w:sz w:val="24"/>
          <w:szCs w:val="24"/>
          <w:lang w:val="sv-SE" w:eastAsia="en-US"/>
          <w14:ligatures w14:val="standardContextual"/>
        </w:rPr>
        <w:t xml:space="preserve"> yang </w:t>
      </w:r>
      <w:proofErr w:type="spellStart"/>
      <w:r w:rsidRPr="00FA3885">
        <w:rPr>
          <w:rFonts w:ascii="Times New Arabic" w:hAnsi="Times New Arabic" w:cs="Times New Roman"/>
          <w:kern w:val="2"/>
          <w:sz w:val="24"/>
          <w:szCs w:val="24"/>
          <w:lang w:val="sv-SE" w:eastAsia="en-US"/>
          <w14:ligatures w14:val="standardContextual"/>
        </w:rPr>
        <w:t>lebih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fleksibel</w:t>
      </w:r>
      <w:proofErr w:type="spellEnd"/>
      <w:r w:rsidRPr="00FA3885">
        <w:rPr>
          <w:rFonts w:ascii="Times New Arabic" w:hAnsi="Times New Arabic" w:cs="Times New Roman"/>
          <w:kern w:val="2"/>
          <w:sz w:val="24"/>
          <w:szCs w:val="24"/>
          <w:lang w:val="sv-SE" w:eastAsia="en-US"/>
          <w14:ligatures w14:val="standardContextual"/>
        </w:rPr>
        <w:t xml:space="preserve"> dan </w:t>
      </w:r>
      <w:proofErr w:type="spellStart"/>
      <w:r w:rsidRPr="00FA3885">
        <w:rPr>
          <w:rFonts w:ascii="Times New Arabic" w:hAnsi="Times New Arabic" w:cs="Times New Roman"/>
          <w:kern w:val="2"/>
          <w:sz w:val="24"/>
          <w:szCs w:val="24"/>
          <w:lang w:val="sv-SE" w:eastAsia="en-US"/>
          <w14:ligatures w14:val="standardContextual"/>
        </w:rPr>
        <w:t>berbasis</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maslahat</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Menurutnya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larangan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tasyabbuh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perlu</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dibedakan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antara</w:t>
      </w:r>
      <w:proofErr w:type="spellEnd"/>
      <w:r w:rsidRPr="00FA3885">
        <w:rPr>
          <w:rFonts w:ascii="Times New Arabic" w:hAnsi="Times New Arabic" w:cs="Times New Roman"/>
          <w:kern w:val="2"/>
          <w:sz w:val="24"/>
          <w:szCs w:val="24"/>
          <w:lang w:val="sv-SE" w:eastAsia="en-US"/>
          <w14:ligatures w14:val="standardContextual"/>
        </w:rPr>
        <w:t xml:space="preserve"> hal-hal yang </w:t>
      </w:r>
      <w:proofErr w:type="spellStart"/>
      <w:r w:rsidRPr="00FA3885">
        <w:rPr>
          <w:rFonts w:ascii="Times New Arabic" w:hAnsi="Times New Arabic" w:cs="Times New Roman"/>
          <w:kern w:val="2"/>
          <w:sz w:val="24"/>
          <w:szCs w:val="24"/>
          <w:lang w:val="sv-SE" w:eastAsia="en-US"/>
          <w14:ligatures w14:val="standardContextual"/>
        </w:rPr>
        <w:t>bersifat</w:t>
      </w:r>
      <w:proofErr w:type="spellEnd"/>
      <w:r w:rsidRPr="00FA3885">
        <w:rPr>
          <w:rFonts w:ascii="Times New Arabic" w:hAnsi="Times New Arabic" w:cs="Times New Roman"/>
          <w:kern w:val="2"/>
          <w:sz w:val="24"/>
          <w:szCs w:val="24"/>
          <w:lang w:val="sv-SE" w:eastAsia="en-US"/>
          <w14:ligatures w14:val="standardContextual"/>
        </w:rPr>
        <w:t xml:space="preserve"> ritual </w:t>
      </w:r>
      <w:proofErr w:type="spellStart"/>
      <w:r w:rsidRPr="00FA3885">
        <w:rPr>
          <w:rFonts w:ascii="Times New Arabic" w:hAnsi="Times New Arabic" w:cs="Times New Roman"/>
          <w:kern w:val="2"/>
          <w:sz w:val="24"/>
          <w:szCs w:val="24"/>
          <w:lang w:val="sv-SE" w:eastAsia="en-US"/>
          <w14:ligatures w14:val="standardContextual"/>
        </w:rPr>
        <w:t>akidah</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dengan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budaya</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umum</w:t>
      </w:r>
      <w:proofErr w:type="spellEnd"/>
      <w:r w:rsidRPr="00FA3885">
        <w:rPr>
          <w:rFonts w:ascii="Times New Arabic" w:hAnsi="Times New Arabic" w:cs="Times New Roman"/>
          <w:kern w:val="2"/>
          <w:sz w:val="24"/>
          <w:szCs w:val="24"/>
          <w:lang w:val="sv-SE" w:eastAsia="en-US"/>
          <w14:ligatures w14:val="standardContextual"/>
        </w:rPr>
        <w:t xml:space="preserve"> yang </w:t>
      </w:r>
      <w:proofErr w:type="spellStart"/>
      <w:r w:rsidRPr="00FA3885">
        <w:rPr>
          <w:rFonts w:ascii="Times New Arabic" w:hAnsi="Times New Arabic" w:cs="Times New Roman"/>
          <w:kern w:val="2"/>
          <w:sz w:val="24"/>
          <w:szCs w:val="24"/>
          <w:lang w:val="sv-SE" w:eastAsia="en-US"/>
          <w14:ligatures w14:val="standardContextual"/>
        </w:rPr>
        <w:t>tidak</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bertentangan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dengan</w:t>
      </w:r>
      <w:proofErr w:type="spellEnd"/>
      <w:r w:rsidRPr="00FA3885">
        <w:rPr>
          <w:rFonts w:ascii="Times New Arabic" w:hAnsi="Times New Arabic" w:cs="Times New Roman"/>
          <w:kern w:val="2"/>
          <w:sz w:val="24"/>
          <w:szCs w:val="24"/>
          <w:lang w:val="sv-SE" w:eastAsia="en-US"/>
          <w14:ligatures w14:val="standardContextual"/>
        </w:rPr>
        <w:t xml:space="preserve"> </w:t>
      </w:r>
      <w:proofErr w:type="spellStart"/>
      <w:r w:rsidRPr="00FA3885">
        <w:rPr>
          <w:rFonts w:ascii="Times New Arabic" w:hAnsi="Times New Arabic" w:cs="Times New Roman"/>
          <w:kern w:val="2"/>
          <w:sz w:val="24"/>
          <w:szCs w:val="24"/>
          <w:lang w:val="sv-SE" w:eastAsia="en-US"/>
          <w14:ligatures w14:val="standardContextual"/>
        </w:rPr>
        <w:t>prinsip</w:t>
      </w:r>
      <w:proofErr w:type="spellEnd"/>
      <w:r w:rsidRPr="00FA3885">
        <w:rPr>
          <w:rFonts w:ascii="Times New Arabic" w:hAnsi="Times New Arabic" w:cs="Times New Roman"/>
          <w:kern w:val="2"/>
          <w:sz w:val="24"/>
          <w:szCs w:val="24"/>
          <w:lang w:val="sv-SE" w:eastAsia="en-US"/>
          <w14:ligatures w14:val="standardContextual"/>
        </w:rPr>
        <w:t xml:space="preserve"> dasar Islam. </w:t>
      </w:r>
      <w:r w:rsidRPr="00FA3885">
        <w:rPr>
          <w:rFonts w:ascii="Times New Arabic" w:hAnsi="Times New Arabic" w:cs="Times New Roman"/>
          <w:kern w:val="2"/>
          <w:sz w:val="24"/>
          <w:szCs w:val="24"/>
          <w:lang w:val="nb-NO" w:eastAsia="en-US"/>
          <w14:ligatures w14:val="standardContextual"/>
        </w:rPr>
        <w:t>Pendekatan ini menekankan pentingnya melihat realitas sosial umat Islam yang hidup berdampingan dengan komunitas lain, termasuk dalam masyarakat multikultural seperti Indonesia. Dalam konteks ini, pendekatan yang terlalu tekstual terhadap hadis tasyabbuh dapat menimbulkan ketegangan sosial dan menghambat terbangunnya harmoni antarumat beragama.</w:t>
      </w:r>
      <w:r w:rsidRPr="00FA3885">
        <w:rPr>
          <w:rFonts w:ascii="Times New Arabic" w:hAnsi="Times New Arabic" w:cs="Times New Roman"/>
          <w:kern w:val="2"/>
          <w:sz w:val="24"/>
          <w:szCs w:val="24"/>
          <w:vertAlign w:val="superscript"/>
          <w:lang w:val="nb-NO" w:eastAsia="en-US"/>
          <w14:ligatures w14:val="standardContextual"/>
        </w:rPr>
        <w:footnoteReference w:id="18"/>
      </w:r>
    </w:p>
    <w:p w14:paraId="50C352BB"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lastRenderedPageBreak/>
        <w:t>Literatur terbaru juga menyoroti kompleksitas isu tasyabbuh dalam kehidupan modern. menunjukkan bahwa fatwa MUI tentang salam lintas agama menjadi pemicu perdebatan baru tentang batas-batas imitasi yang diperbolehkan dalam Islam, terutama dalam konteks relasi antariman.</w:t>
      </w:r>
      <w:r w:rsidRPr="00FA3885">
        <w:rPr>
          <w:rFonts w:ascii="Times New Arabic" w:hAnsi="Times New Arabic" w:cs="Times New Roman"/>
          <w:kern w:val="2"/>
          <w:sz w:val="24"/>
          <w:szCs w:val="24"/>
          <w:vertAlign w:val="superscript"/>
          <w:lang w:val="nb-NO" w:eastAsia="en-US"/>
          <w14:ligatures w14:val="standardContextual"/>
        </w:rPr>
        <w:footnoteReference w:id="19"/>
      </w:r>
      <w:r w:rsidRPr="00FA3885">
        <w:rPr>
          <w:rFonts w:ascii="Times New Arabic" w:hAnsi="Times New Arabic" w:cs="Times New Roman"/>
          <w:kern w:val="2"/>
          <w:sz w:val="24"/>
          <w:szCs w:val="24"/>
          <w:lang w:val="nb-NO" w:eastAsia="en-US"/>
          <w14:ligatures w14:val="standardContextual"/>
        </w:rPr>
        <w:t xml:space="preserve"> Di sisi lain, studi Saragih dan Abdurrahman  menyajikan dinamika tasyabbuh dalam isu gender, menunjukkan bahwa imitasi bukan hanya persoalan akidah tetapi juga identitas sosial. Pendekatan fiqh identitas seperti yang diusulkan Faiz &amp; Afrita turut menegaskan perlunya membangun pemahaman hukum Islam yang lebih adaptif dan empatik terhadap kompleksitas masyarakat plural.</w:t>
      </w:r>
      <w:r w:rsidRPr="00FA3885">
        <w:rPr>
          <w:rFonts w:ascii="Times New Arabic" w:hAnsi="Times New Arabic" w:cs="Times New Roman"/>
          <w:kern w:val="2"/>
          <w:sz w:val="24"/>
          <w:szCs w:val="24"/>
          <w:vertAlign w:val="superscript"/>
          <w:lang w:val="nb-NO" w:eastAsia="en-US"/>
          <w14:ligatures w14:val="standardContextual"/>
        </w:rPr>
        <w:footnoteReference w:id="20"/>
      </w:r>
    </w:p>
    <w:p w14:paraId="7049AA72"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Temuan ini menunjukkan pentingnya penguatan literasi keagamaan masyarakat, terutama dalam memahami hadis-hadis normatif seperti tasyabbuh secara kontekstual dan maqashidi. Ketika umat Islam memahami hadis secara tekstual tanpa memperhitungkan tujuan dan dampak sosialnya, maka ruang dialog dan toleransi menjadi sempit. Dalam konteks masyarakat seperti Bagansiapiapi, yang terdiri dari komunitas multikultural, pemahaman kontekstual terhadap tasyabbuh dapat menjadi jembatan dalam membangun koeksistensi damai tanpa harus mengorbankan prinsip akidah.</w:t>
      </w:r>
    </w:p>
    <w:p w14:paraId="551CC170"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Implikasi ilmiah dari studi ini terletak pada kontribusinya terhadap pengembangan pendekatan integratif antara studi hadis dan dinamika sosial budaya. Studi ini membuktikan bahwa hadis tidak hanya perlu dipahami secara tekstual, tetapi juga harus diinterpretasikan dalam kerangka maqashid al-syariah dan realitas sosiokultural masyarakat Muslim masa kini. Di sisi praktis, hasil ini memberi ruang bagi para pendidik, ulama, dan pengambil kebijakan keagamaan untuk menyusun strategi dakwah dan edukasi yang mampu menjembatani norma agama dan praktik toleransi lintas budaya.</w:t>
      </w:r>
    </w:p>
    <w:p w14:paraId="4B35C06D" w14:textId="77777777" w:rsid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Dengan demikian, studi ini membuka diskursus baru tentang pentingnya membaca hadis secara multidimensional dan menjadikan pengalaman lokal seperti Bakar Tongkang sebagai laboratorium sosial dalam membangun pemahaman Islam yang inklusif, tetapi tetap teguh pada prinsip akidah. Konteks ini memperkuat narasi bahwa identitas Muslim dapat tetap kuat dalam ruang sosial yang majemuk, asalkan dilandasi oleh pemahaman syariah yang bijaksana dan responsif terhadap tantangan zaman.</w:t>
      </w:r>
    </w:p>
    <w:p w14:paraId="4A7B2E49" w14:textId="77777777" w:rsidR="003734C5" w:rsidRPr="00FA3885" w:rsidRDefault="003734C5" w:rsidP="00FA3885">
      <w:pPr>
        <w:spacing w:after="0"/>
        <w:ind w:firstLine="720"/>
        <w:jc w:val="both"/>
        <w:rPr>
          <w:rFonts w:ascii="Times New Arabic" w:hAnsi="Times New Arabic" w:cs="Times New Roman"/>
          <w:kern w:val="2"/>
          <w:sz w:val="24"/>
          <w:szCs w:val="24"/>
          <w:lang w:val="nb-NO" w:eastAsia="en-US"/>
          <w14:ligatures w14:val="standardContextual"/>
        </w:rPr>
      </w:pPr>
    </w:p>
    <w:p w14:paraId="6823EE29" w14:textId="77777777" w:rsidR="00FA3885" w:rsidRPr="00FA3885" w:rsidRDefault="00FA3885" w:rsidP="003734C5">
      <w:pPr>
        <w:pStyle w:val="DaftarParagraf"/>
        <w:numPr>
          <w:ilvl w:val="0"/>
          <w:numId w:val="43"/>
        </w:numPr>
        <w:spacing w:after="0"/>
        <w:ind w:left="284" w:hanging="284"/>
        <w:jc w:val="both"/>
        <w:rPr>
          <w:rFonts w:ascii="Times New Arabic" w:hAnsi="Times New Arabic"/>
          <w:b/>
          <w:bCs/>
          <w:kern w:val="2"/>
          <w:sz w:val="24"/>
          <w:szCs w:val="24"/>
          <w:lang w:val="nb-NO" w:eastAsia="en-US"/>
          <w14:ligatures w14:val="standardContextual"/>
        </w:rPr>
      </w:pPr>
      <w:r w:rsidRPr="00FA3885">
        <w:rPr>
          <w:rFonts w:ascii="Times New Arabic" w:hAnsi="Times New Arabic"/>
          <w:b/>
          <w:bCs/>
          <w:kern w:val="2"/>
          <w:sz w:val="24"/>
          <w:szCs w:val="24"/>
          <w:lang w:val="nb-NO" w:eastAsia="en-US"/>
          <w14:ligatures w14:val="standardContextual"/>
        </w:rPr>
        <w:t>Makna Simbolik dan Aspek Ritual dalam Tradisi Bakar Tongkang</w:t>
      </w:r>
    </w:p>
    <w:p w14:paraId="45748F8F"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Perayaan Bakar Tongkang di Bagansiapiapi merupakan warisan budaya etnis Tionghoa yang menyimpan nilai teologis dan simbolik mendalam. Rangkaian ritual dimulai dengan pemindahan simbolik roh leluhur ke replika kapal kayu, dilanjutkan dengan arak-arakan keliling kota dan diakhiri dengan pembakaran kapal sebagai bentuk persembahan kepada dewa laut. Ritual ini dipandang oleh komunitas Tionghoa sebagai wujud rasa syukur dan permohonan berkah untuk keselamatan serta kemakmuran. Menurut Angela dan Prasetyo, pembakaran kapal tersebut tidak sekadar seremonial, tetapi merepresentasikan pembersihan spiritual dan pembentukan energi positif dalam komunitas.</w:t>
      </w:r>
      <w:r w:rsidRPr="00FA3885">
        <w:rPr>
          <w:rFonts w:ascii="Times New Arabic" w:hAnsi="Times New Arabic" w:cs="Times New Roman"/>
          <w:kern w:val="2"/>
          <w:sz w:val="24"/>
          <w:szCs w:val="24"/>
          <w:vertAlign w:val="superscript"/>
          <w:lang w:val="nb-NO" w:eastAsia="en-US"/>
          <w14:ligatures w14:val="standardContextual"/>
        </w:rPr>
        <w:footnoteReference w:id="21"/>
      </w:r>
    </w:p>
    <w:p w14:paraId="23B433AC"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lastRenderedPageBreak/>
        <w:t>Namun, dalam pandangan mayoritas narasumber Muslim, simbolisme dan dimensi spiritual dalam ritual ini mengandung unsur yang bertentangan dengan akidah Islam, khususnya karena adanya unsur pemujaan terhadap kekuatan transenden selain Allah SWT. Praktik memohon kepada dewa laut dinilai sebagai bentuk syirik, yang dalam Islam merupakan pelanggaran teologis yang sangat serius. Beberapa narasumber menyebut bahwa kehadiran umat Islam, bahkan hanya sebagai penonton, dipandang sebagai bentuk pembenaran terselubung terhadap praktik keyakinan lain. Ini memperlihatkan sensitivitas tinggi masyarakat Muslim terhadap bentuk partisipasi dalam aktivitas yang mengandung dimensi ibadah non-Islam.</w:t>
      </w:r>
    </w:p>
    <w:p w14:paraId="532F1557"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Dalam studi antropologis, perayaan Bakar Tongkang dipandang sebagai ekspresi sinkretisme budaya dan keagamaan yang memperkuat identitas komunitas Tionghoa di Indonesia. Angela dan Prasetyo mencatat bahwa ritual ini memiliki dimensi kolektif yang mempererat solidaritas sosial melalui simbol-simbol religius yang kuat. Namun, dari perspektif Islam, keterlibatan dalam kegiatan yang mengandung unsur syirik meskipun secara simbolik atau budaya tetap dianggap problematis. Hal ini ditegaskan dalam prinsip dasar tasyabbuh sebagaimana dijelaskan oleh Ibn Taimiyyah dalam </w:t>
      </w:r>
      <w:r w:rsidRPr="00FA3885">
        <w:rPr>
          <w:rFonts w:ascii="Times New Arabic" w:hAnsi="Times New Arabic" w:cs="Times New Roman"/>
          <w:i/>
          <w:iCs/>
          <w:kern w:val="2"/>
          <w:sz w:val="24"/>
          <w:szCs w:val="24"/>
          <w:lang w:val="nb-NO" w:eastAsia="en-US"/>
          <w14:ligatures w14:val="standardContextual"/>
        </w:rPr>
        <w:t>Iqti</w:t>
      </w:r>
      <w:r w:rsidRPr="00FA3885">
        <w:rPr>
          <w:rFonts w:ascii="Cambria" w:hAnsi="Cambria" w:cs="Cambria"/>
          <w:i/>
          <w:iCs/>
          <w:kern w:val="2"/>
          <w:sz w:val="24"/>
          <w:szCs w:val="24"/>
          <w:lang w:val="nb-NO" w:eastAsia="en-US"/>
          <w14:ligatures w14:val="standardContextual"/>
        </w:rPr>
        <w:t>ḍā</w:t>
      </w:r>
      <w:r w:rsidRPr="00FA3885">
        <w:rPr>
          <w:rFonts w:ascii="Times New Arabic" w:hAnsi="Times New Arabic" w:cs="Times New Arabic"/>
          <w:i/>
          <w:iCs/>
          <w:kern w:val="2"/>
          <w:sz w:val="24"/>
          <w:szCs w:val="24"/>
          <w:lang w:val="nb-NO" w:eastAsia="en-US"/>
          <w14:ligatures w14:val="standardContextual"/>
        </w:rPr>
        <w:t>’</w:t>
      </w:r>
      <w:r w:rsidRPr="00FA3885">
        <w:rPr>
          <w:rFonts w:ascii="Times New Arabic" w:hAnsi="Times New Arabic" w:cs="Times New Roman"/>
          <w:i/>
          <w:iCs/>
          <w:kern w:val="2"/>
          <w:sz w:val="24"/>
          <w:szCs w:val="24"/>
          <w:lang w:val="nb-NO" w:eastAsia="en-US"/>
          <w14:ligatures w14:val="standardContextual"/>
        </w:rPr>
        <w:t xml:space="preserve"> a</w:t>
      </w:r>
      <w:r w:rsidRPr="00FA3885">
        <w:rPr>
          <w:rFonts w:ascii="Cambria" w:hAnsi="Cambria" w:cs="Cambria"/>
          <w:i/>
          <w:iCs/>
          <w:kern w:val="2"/>
          <w:sz w:val="24"/>
          <w:szCs w:val="24"/>
          <w:lang w:val="nb-NO" w:eastAsia="en-US"/>
          <w14:ligatures w14:val="standardContextual"/>
        </w:rPr>
        <w:t>ṣ</w:t>
      </w:r>
      <w:r w:rsidRPr="00FA3885">
        <w:rPr>
          <w:rFonts w:ascii="Times New Arabic" w:hAnsi="Times New Arabic" w:cs="Times New Roman"/>
          <w:i/>
          <w:iCs/>
          <w:kern w:val="2"/>
          <w:sz w:val="24"/>
          <w:szCs w:val="24"/>
          <w:lang w:val="nb-NO" w:eastAsia="en-US"/>
          <w14:ligatures w14:val="standardContextual"/>
        </w:rPr>
        <w:t>-</w:t>
      </w:r>
      <w:r w:rsidRPr="00FA3885">
        <w:rPr>
          <w:rFonts w:ascii="Cambria" w:hAnsi="Cambria" w:cs="Cambria"/>
          <w:i/>
          <w:iCs/>
          <w:kern w:val="2"/>
          <w:sz w:val="24"/>
          <w:szCs w:val="24"/>
          <w:lang w:val="nb-NO" w:eastAsia="en-US"/>
          <w14:ligatures w14:val="standardContextual"/>
        </w:rPr>
        <w:t>ṣ</w:t>
      </w:r>
      <w:r w:rsidRPr="00FA3885">
        <w:rPr>
          <w:rFonts w:ascii="Times New Arabic" w:hAnsi="Times New Arabic" w:cs="Times New Roman"/>
          <w:i/>
          <w:iCs/>
          <w:kern w:val="2"/>
          <w:sz w:val="24"/>
          <w:szCs w:val="24"/>
          <w:lang w:val="nb-NO" w:eastAsia="en-US"/>
          <w14:ligatures w14:val="standardContextual"/>
        </w:rPr>
        <w:t>ir</w:t>
      </w:r>
      <w:r w:rsidRPr="00FA3885">
        <w:rPr>
          <w:rFonts w:ascii="Cambria" w:hAnsi="Cambria" w:cs="Cambria"/>
          <w:i/>
          <w:iCs/>
          <w:kern w:val="2"/>
          <w:sz w:val="24"/>
          <w:szCs w:val="24"/>
          <w:lang w:val="nb-NO" w:eastAsia="en-US"/>
          <w14:ligatures w14:val="standardContextual"/>
        </w:rPr>
        <w:t>āṭ</w:t>
      </w:r>
      <w:r w:rsidRPr="00FA3885">
        <w:rPr>
          <w:rFonts w:ascii="Times New Arabic" w:hAnsi="Times New Arabic" w:cs="Times New Roman"/>
          <w:i/>
          <w:iCs/>
          <w:kern w:val="2"/>
          <w:sz w:val="24"/>
          <w:szCs w:val="24"/>
          <w:lang w:val="nb-NO" w:eastAsia="en-US"/>
          <w14:ligatures w14:val="standardContextual"/>
        </w:rPr>
        <w:t xml:space="preserve"> al-mustaq</w:t>
      </w:r>
      <w:r w:rsidRPr="00FA3885">
        <w:rPr>
          <w:rFonts w:ascii="Cambria" w:hAnsi="Cambria" w:cs="Cambria"/>
          <w:i/>
          <w:iCs/>
          <w:kern w:val="2"/>
          <w:sz w:val="24"/>
          <w:szCs w:val="24"/>
          <w:lang w:val="nb-NO" w:eastAsia="en-US"/>
          <w14:ligatures w14:val="standardContextual"/>
        </w:rPr>
        <w:t>ī</w:t>
      </w:r>
      <w:r w:rsidRPr="00FA3885">
        <w:rPr>
          <w:rFonts w:ascii="Times New Arabic" w:hAnsi="Times New Arabic" w:cs="Times New Roman"/>
          <w:i/>
          <w:iCs/>
          <w:kern w:val="2"/>
          <w:sz w:val="24"/>
          <w:szCs w:val="24"/>
          <w:lang w:val="nb-NO" w:eastAsia="en-US"/>
          <w14:ligatures w14:val="standardContextual"/>
        </w:rPr>
        <w:t>m f</w:t>
      </w:r>
      <w:r w:rsidRPr="00FA3885">
        <w:rPr>
          <w:rFonts w:ascii="Cambria" w:hAnsi="Cambria" w:cs="Cambria"/>
          <w:i/>
          <w:iCs/>
          <w:kern w:val="2"/>
          <w:sz w:val="24"/>
          <w:szCs w:val="24"/>
          <w:lang w:val="nb-NO" w:eastAsia="en-US"/>
          <w14:ligatures w14:val="standardContextual"/>
        </w:rPr>
        <w:t>ī</w:t>
      </w:r>
      <w:r w:rsidRPr="00FA3885">
        <w:rPr>
          <w:rFonts w:ascii="Times New Arabic" w:hAnsi="Times New Arabic" w:cs="Times New Roman"/>
          <w:i/>
          <w:iCs/>
          <w:kern w:val="2"/>
          <w:sz w:val="24"/>
          <w:szCs w:val="24"/>
          <w:lang w:val="nb-NO" w:eastAsia="en-US"/>
          <w14:ligatures w14:val="standardContextual"/>
        </w:rPr>
        <w:t xml:space="preserve"> mukh</w:t>
      </w:r>
      <w:r w:rsidRPr="00FA3885">
        <w:rPr>
          <w:rFonts w:ascii="Cambria" w:hAnsi="Cambria" w:cs="Cambria"/>
          <w:i/>
          <w:iCs/>
          <w:kern w:val="2"/>
          <w:sz w:val="24"/>
          <w:szCs w:val="24"/>
          <w:lang w:val="nb-NO" w:eastAsia="en-US"/>
          <w14:ligatures w14:val="standardContextual"/>
        </w:rPr>
        <w:t>ā</w:t>
      </w:r>
      <w:r w:rsidRPr="00FA3885">
        <w:rPr>
          <w:rFonts w:ascii="Times New Arabic" w:hAnsi="Times New Arabic" w:cs="Times New Roman"/>
          <w:i/>
          <w:iCs/>
          <w:kern w:val="2"/>
          <w:sz w:val="24"/>
          <w:szCs w:val="24"/>
          <w:lang w:val="nb-NO" w:eastAsia="en-US"/>
          <w14:ligatures w14:val="standardContextual"/>
        </w:rPr>
        <w:t>lafat a</w:t>
      </w:r>
      <w:r w:rsidRPr="00FA3885">
        <w:rPr>
          <w:rFonts w:ascii="Cambria" w:hAnsi="Cambria" w:cs="Cambria"/>
          <w:i/>
          <w:iCs/>
          <w:kern w:val="2"/>
          <w:sz w:val="24"/>
          <w:szCs w:val="24"/>
          <w:lang w:val="nb-NO" w:eastAsia="en-US"/>
          <w14:ligatures w14:val="standardContextual"/>
        </w:rPr>
        <w:t>ṣḥā</w:t>
      </w:r>
      <w:r w:rsidRPr="00FA3885">
        <w:rPr>
          <w:rFonts w:ascii="Times New Arabic" w:hAnsi="Times New Arabic" w:cs="Times New Roman"/>
          <w:i/>
          <w:iCs/>
          <w:kern w:val="2"/>
          <w:sz w:val="24"/>
          <w:szCs w:val="24"/>
          <w:lang w:val="nb-NO" w:eastAsia="en-US"/>
          <w14:ligatures w14:val="standardContextual"/>
        </w:rPr>
        <w:t>b al-ja</w:t>
      </w:r>
      <w:r w:rsidRPr="00FA3885">
        <w:rPr>
          <w:rFonts w:ascii="Cambria" w:hAnsi="Cambria" w:cs="Cambria"/>
          <w:i/>
          <w:iCs/>
          <w:kern w:val="2"/>
          <w:sz w:val="24"/>
          <w:szCs w:val="24"/>
          <w:lang w:val="nb-NO" w:eastAsia="en-US"/>
          <w14:ligatures w14:val="standardContextual"/>
        </w:rPr>
        <w:t>ḥī</w:t>
      </w:r>
      <w:r w:rsidRPr="00FA3885">
        <w:rPr>
          <w:rFonts w:ascii="Times New Arabic" w:hAnsi="Times New Arabic" w:cs="Times New Roman"/>
          <w:i/>
          <w:iCs/>
          <w:kern w:val="2"/>
          <w:sz w:val="24"/>
          <w:szCs w:val="24"/>
          <w:lang w:val="nb-NO" w:eastAsia="en-US"/>
          <w14:ligatures w14:val="standardContextual"/>
        </w:rPr>
        <w:t>m</w:t>
      </w:r>
      <w:r w:rsidRPr="00FA3885">
        <w:rPr>
          <w:rFonts w:ascii="Times New Arabic" w:hAnsi="Times New Arabic" w:cs="Times New Roman"/>
          <w:kern w:val="2"/>
          <w:sz w:val="24"/>
          <w:szCs w:val="24"/>
          <w:lang w:val="nb-NO" w:eastAsia="en-US"/>
          <w14:ligatures w14:val="standardContextual"/>
        </w:rPr>
        <w:t>, yaitu larangan menyerupai bentuk ibadah dan akidah kaum lain demi menjaga kemurnian identitas Islam.</w:t>
      </w:r>
      <w:r w:rsidRPr="00FA3885">
        <w:rPr>
          <w:rFonts w:ascii="Times New Arabic" w:hAnsi="Times New Arabic" w:cs="Times New Roman"/>
          <w:kern w:val="2"/>
          <w:sz w:val="24"/>
          <w:szCs w:val="24"/>
          <w:vertAlign w:val="superscript"/>
          <w:lang w:val="nb-NO" w:eastAsia="en-US"/>
          <w14:ligatures w14:val="standardContextual"/>
        </w:rPr>
        <w:footnoteReference w:id="22"/>
      </w:r>
    </w:p>
    <w:p w14:paraId="50528BDD"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Sebaliknya, Yusuf al-Qaradawi dalam kerangka </w:t>
      </w:r>
      <w:r w:rsidRPr="00FA3885">
        <w:rPr>
          <w:rFonts w:ascii="Times New Arabic" w:hAnsi="Times New Arabic" w:cs="Times New Roman"/>
          <w:i/>
          <w:iCs/>
          <w:kern w:val="2"/>
          <w:sz w:val="24"/>
          <w:szCs w:val="24"/>
          <w:lang w:val="nb-NO" w:eastAsia="en-US"/>
          <w14:ligatures w14:val="standardContextual"/>
        </w:rPr>
        <w:t>Fiqh al-Awlawiyy</w:t>
      </w:r>
      <w:r w:rsidRPr="00FA3885">
        <w:rPr>
          <w:rFonts w:ascii="Cambria" w:hAnsi="Cambria" w:cs="Cambria"/>
          <w:i/>
          <w:iCs/>
          <w:kern w:val="2"/>
          <w:sz w:val="24"/>
          <w:szCs w:val="24"/>
          <w:lang w:val="nb-NO" w:eastAsia="en-US"/>
          <w14:ligatures w14:val="standardContextual"/>
        </w:rPr>
        <w:t>ā</w:t>
      </w:r>
      <w:r w:rsidRPr="00FA3885">
        <w:rPr>
          <w:rFonts w:ascii="Times New Arabic" w:hAnsi="Times New Arabic" w:cs="Times New Roman"/>
          <w:i/>
          <w:iCs/>
          <w:kern w:val="2"/>
          <w:sz w:val="24"/>
          <w:szCs w:val="24"/>
          <w:lang w:val="nb-NO" w:eastAsia="en-US"/>
          <w14:ligatures w14:val="standardContextual"/>
        </w:rPr>
        <w:t xml:space="preserve">t </w:t>
      </w:r>
      <w:r w:rsidRPr="00FA3885">
        <w:rPr>
          <w:rFonts w:ascii="Times New Arabic" w:hAnsi="Times New Arabic" w:cs="Times New Roman"/>
          <w:kern w:val="2"/>
          <w:sz w:val="24"/>
          <w:szCs w:val="24"/>
          <w:lang w:val="nb-NO" w:eastAsia="en-US"/>
          <w14:ligatures w14:val="standardContextual"/>
        </w:rPr>
        <w:t>menekankan perlunya pembedaan antara partisipasi sosial dan pembenaran teologis. Ia menganjurkan pendekatan yang lebih kontekstual dan maslahat-oriented, khususnya dalam masyarakat majemuk. Namun demikian, pendekatan ini belum banyak dikenal oleh masyarakat umum, yang cenderung mengadopsi pembacaan literal terhadap larangan tasyabbuh sebagaimana tercermin dalam hadis “man tasyabbaha bi qawmin fahuwa minhum” (HR. Abu Dawud). Ini memperkuat temuan dalam blok sebelumnya bahwa masih terjadi kesenjangan pemahaman antara diskursus ilmiah dengan persepsi masyarakat akar rumput.</w:t>
      </w:r>
    </w:p>
    <w:p w14:paraId="09CC6E49"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Literatur tentang sinkretisme di Indonesia, seperti ditulis oleh Maulidin et al,</w:t>
      </w:r>
      <w:r w:rsidRPr="00FA3885">
        <w:rPr>
          <w:rFonts w:ascii="Times New Arabic" w:hAnsi="Times New Arabic" w:cs="Times New Roman"/>
          <w:kern w:val="2"/>
          <w:sz w:val="24"/>
          <w:szCs w:val="24"/>
          <w:vertAlign w:val="superscript"/>
          <w:lang w:val="nb-NO" w:eastAsia="en-US"/>
          <w14:ligatures w14:val="standardContextual"/>
        </w:rPr>
        <w:footnoteReference w:id="23"/>
      </w:r>
      <w:r w:rsidRPr="00FA3885">
        <w:rPr>
          <w:rFonts w:ascii="Times New Arabic" w:hAnsi="Times New Arabic" w:cs="Times New Roman"/>
          <w:kern w:val="2"/>
          <w:sz w:val="24"/>
          <w:szCs w:val="24"/>
          <w:lang w:val="nb-NO" w:eastAsia="en-US"/>
          <w14:ligatures w14:val="standardContextual"/>
        </w:rPr>
        <w:t xml:space="preserve"> menunjukkan bahwa agama-agama besar seperti Islam telah beradaptasi dengan budaya lokal secara historis, membentuk wajah Islam Nusantara yang khas. Namun dalam kasus Bakar Tongkang, justru muncul ketegangan antara multikulturalisme ruang publik dan eksklusivitas keyakinan keagamaan. Sementara itu, Pramulia menyoroti bahwa dalam sejarah Islam di Nusantara, kompromi simbolik dengan budaya lokal sering kali digunakan untuk menyebarkan nilai-nilai Islam. Dalam konteks sekarang, kompromi semacam itu menjadi subjek debat baru mengenai batas toleransi dan identitas.</w:t>
      </w:r>
      <w:r w:rsidRPr="00FA3885">
        <w:rPr>
          <w:rFonts w:ascii="Times New Arabic" w:hAnsi="Times New Arabic" w:cs="Times New Roman"/>
          <w:kern w:val="2"/>
          <w:sz w:val="24"/>
          <w:szCs w:val="24"/>
          <w:vertAlign w:val="superscript"/>
          <w:lang w:val="nb-NO" w:eastAsia="en-US"/>
          <w14:ligatures w14:val="standardContextual"/>
        </w:rPr>
        <w:footnoteReference w:id="24"/>
      </w:r>
    </w:p>
    <w:p w14:paraId="02AFA790"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Studi ini menegaskan bahwa perayaan Bakar Tongkang, meskipun merupakan praktik budaya yang kaya akan nilai historis dan sosial, tetap menimbulkan ketegangan teologis dalam masyarakat Muslim yang memegang teguh prinsip larangan syirik dan tasyabbuh. Implikasi teologis dari kehadiran Muslim dalam perayaan ini, meskipun tidak disertai partisipasi langsung, dipersepsikan sebagai bentuk kompromi identitas keislaman. </w:t>
      </w:r>
      <w:r w:rsidRPr="00FA3885">
        <w:rPr>
          <w:rFonts w:ascii="Times New Arabic" w:hAnsi="Times New Arabic" w:cs="Times New Roman"/>
          <w:kern w:val="2"/>
          <w:sz w:val="24"/>
          <w:szCs w:val="24"/>
          <w:lang w:val="nb-NO" w:eastAsia="en-US"/>
          <w14:ligatures w14:val="standardContextual"/>
        </w:rPr>
        <w:lastRenderedPageBreak/>
        <w:t>Persepsi ini mengindikasikan pentingnya pendidikan agama yang mendorong pemahaman maqashidi, agar umat Islam mampu membedakan antara interaksi sosial lintas budaya dan pengakuan teologis terhadap praktik agama lain.</w:t>
      </w:r>
    </w:p>
    <w:p w14:paraId="27BBE5E7"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Secara ilmiah, hasil ini memperkaya diskursus tentang bagaimana simbolisme ritual dan praktik sinkretik dievaluasi dalam kerangka akidah Islam kontemporer. Studi ini menggabungkan analisis normatif dan deskriptif dalam menjelaskan relasi antara budaya dan agama di ruang publik Indonesia. Konteks ini menjadi kontribusi penting dalam literatur studi keislaman dan pluralisme, dengan menegaskan bahwa pemahaman dan sikap umat Islam terhadap praktik budaya lintas agama sangat dipengaruhi oleh interpretasi hadis dan kerangka hukum yang mereka anut.</w:t>
      </w:r>
    </w:p>
    <w:p w14:paraId="6E6F974C"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Secara praktis, temuan ini menuntut peran aktif tokoh agama, akademisi, dan institusi keagamaan dalam membimbing masyarakat agar mampu bersikap inklusif tanpa mengorbankan integritas keimanan. Perlu ada pendekatan pendidikan yang menjembatani antara nilai toleransi dan kesetiaan pada akidah, agar umat Islam dapat hidup berdampingan secara damai dalam masyarakat multikultural seperti Indonesia. Keterkaitan antara pemahaman normatif tasyabbuh dan representasi ritual Bakar Tongkang ini memperlihatkan pentingnya integrasi pendekatan tekstual dan kontekstual dalam merespons tantangan pluralisme budaya dan agama.</w:t>
      </w:r>
    </w:p>
    <w:p w14:paraId="4A0C4149"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p>
    <w:p w14:paraId="28151494" w14:textId="77777777" w:rsidR="00FA3885" w:rsidRPr="00FA3885" w:rsidRDefault="00FA3885" w:rsidP="003734C5">
      <w:pPr>
        <w:pStyle w:val="DaftarParagraf"/>
        <w:numPr>
          <w:ilvl w:val="0"/>
          <w:numId w:val="43"/>
        </w:numPr>
        <w:spacing w:after="0"/>
        <w:ind w:left="284" w:hanging="284"/>
        <w:jc w:val="both"/>
        <w:rPr>
          <w:rFonts w:ascii="Times New Arabic" w:hAnsi="Times New Arabic"/>
          <w:b/>
          <w:bCs/>
          <w:kern w:val="2"/>
          <w:sz w:val="24"/>
          <w:szCs w:val="24"/>
          <w:lang w:val="nb-NO" w:eastAsia="en-US"/>
          <w14:ligatures w14:val="standardContextual"/>
        </w:rPr>
      </w:pPr>
      <w:r w:rsidRPr="00FA3885">
        <w:rPr>
          <w:rFonts w:ascii="Times New Arabic" w:hAnsi="Times New Arabic"/>
          <w:b/>
          <w:bCs/>
          <w:kern w:val="2"/>
          <w:sz w:val="24"/>
          <w:szCs w:val="24"/>
          <w:lang w:val="nb-NO" w:eastAsia="en-US"/>
          <w14:ligatures w14:val="standardContextual"/>
        </w:rPr>
        <w:t>Tanggapan Tokoh Islam Dalam Menghadiri Perayaan Bakar Tongkang</w:t>
      </w:r>
    </w:p>
    <w:p w14:paraId="4BC34C5B"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Bakar Tongkang adalah sebuah tradisi tahunan yang dilaksanakan oleh masyarakat Tionghoa di Bagansiapiapi, Rokan Hilir, Riau, sebagai bentuk penghormatan kepada leluhur. Acara ini memadukan unsur budaya, ritual keagamaan, dan pariwisata, sehingga menarik perhatian wisatawan lokal maupun mancanegara. Di satu sisi, acara ini menjadi sumber ekonomi dan simbol kerukunan antarumat beragama. Namun, di sisi lain, unsur religius dalam ritual Bakar Tongkang menimbulkan pertanyaan di kalangan umat Muslim terkait batasan keikutsertaan yang sesuai dengan ajaran Islam.</w:t>
      </w:r>
      <w:r w:rsidRPr="00FA3885">
        <w:rPr>
          <w:rFonts w:ascii="Times New Arabic" w:hAnsi="Times New Arabic" w:cs="Times New Roman"/>
          <w:kern w:val="2"/>
          <w:sz w:val="24"/>
          <w:szCs w:val="24"/>
          <w:vertAlign w:val="superscript"/>
          <w:lang w:val="nb-NO" w:eastAsia="en-US"/>
          <w14:ligatures w14:val="standardContextual"/>
        </w:rPr>
        <w:footnoteReference w:id="25"/>
      </w:r>
    </w:p>
    <w:p w14:paraId="1E5509B1" w14:textId="77777777" w:rsid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Dalam konteks masyarakat multikultural seperti Rokan Hilir, tokoh agama berperan penting dalam memberikan panduan yang menyeimbangkan antara menjaga kemurnian akidah dan memelihara kerukunan sosial. Membahas tanggapan tokoh Islam dari tiga perspektif: MUI, Kemenag, dan ulama lokal, terkait kehadiran umat Muslim dalam perayaan Bakar Tongkang.</w:t>
      </w:r>
    </w:p>
    <w:p w14:paraId="244629FC" w14:textId="77777777" w:rsidR="003734C5" w:rsidRPr="00FA3885" w:rsidRDefault="003734C5" w:rsidP="00FA3885">
      <w:pPr>
        <w:spacing w:after="0"/>
        <w:ind w:firstLine="720"/>
        <w:jc w:val="both"/>
        <w:rPr>
          <w:rFonts w:ascii="Times New Arabic" w:hAnsi="Times New Arabic" w:cs="Times New Roman"/>
          <w:kern w:val="2"/>
          <w:sz w:val="24"/>
          <w:szCs w:val="24"/>
          <w:lang w:val="nb-NO" w:eastAsia="en-US"/>
          <w14:ligatures w14:val="standardContextual"/>
        </w:rPr>
      </w:pPr>
    </w:p>
    <w:p w14:paraId="3F617B7B" w14:textId="77777777" w:rsidR="00FA3885" w:rsidRPr="00FA3885" w:rsidRDefault="00FA3885" w:rsidP="00FA3885">
      <w:pPr>
        <w:numPr>
          <w:ilvl w:val="0"/>
          <w:numId w:val="42"/>
        </w:numPr>
        <w:spacing w:after="0"/>
        <w:contextualSpacing/>
        <w:jc w:val="both"/>
        <w:rPr>
          <w:rFonts w:ascii="Times New Arabic" w:hAnsi="Times New Arabic" w:cs="Times New Roman"/>
          <w:kern w:val="2"/>
          <w:sz w:val="24"/>
          <w:szCs w:val="24"/>
          <w:lang w:val="en-ID" w:eastAsia="en-US"/>
          <w14:ligatures w14:val="standardContextual"/>
        </w:rPr>
      </w:pPr>
      <w:proofErr w:type="spellStart"/>
      <w:r w:rsidRPr="00FA3885">
        <w:rPr>
          <w:rFonts w:ascii="Times New Arabic" w:hAnsi="Times New Arabic" w:cs="Times New Roman"/>
          <w:kern w:val="2"/>
          <w:sz w:val="24"/>
          <w:szCs w:val="24"/>
          <w:lang w:val="en-ID" w:eastAsia="en-US"/>
          <w14:ligatures w14:val="standardContextual"/>
        </w:rPr>
        <w:t>Pandangan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Majelis</w:t>
      </w:r>
      <w:proofErr w:type="spellEnd"/>
      <w:r w:rsidRPr="00FA3885">
        <w:rPr>
          <w:rFonts w:ascii="Times New Arabic" w:hAnsi="Times New Arabic" w:cs="Times New Roman"/>
          <w:kern w:val="2"/>
          <w:sz w:val="24"/>
          <w:szCs w:val="24"/>
          <w:lang w:val="en-ID" w:eastAsia="en-US"/>
          <w14:ligatures w14:val="standardContextual"/>
        </w:rPr>
        <w:t xml:space="preserve"> Ulama Indonesia (MUI)</w:t>
      </w:r>
    </w:p>
    <w:p w14:paraId="19CAEFA8" w14:textId="77777777" w:rsidR="00FA3885" w:rsidRPr="003734C5" w:rsidRDefault="00FA3885" w:rsidP="00FA3885">
      <w:pPr>
        <w:spacing w:after="0"/>
        <w:ind w:left="720"/>
        <w:contextualSpacing/>
        <w:jc w:val="both"/>
        <w:rPr>
          <w:rFonts w:ascii="Times New Arabic" w:hAnsi="Times New Arabic" w:cs="Times New Roman"/>
          <w:kern w:val="2"/>
          <w:sz w:val="24"/>
          <w:szCs w:val="24"/>
          <w:lang w:val="nb-NO" w:eastAsia="en-US"/>
          <w14:ligatures w14:val="standardContextual"/>
        </w:rPr>
      </w:pPr>
      <w:proofErr w:type="spellStart"/>
      <w:r w:rsidRPr="00FA3885">
        <w:rPr>
          <w:rFonts w:ascii="Times New Arabic" w:hAnsi="Times New Arabic" w:cs="Times New Roman"/>
          <w:kern w:val="2"/>
          <w:sz w:val="24"/>
          <w:szCs w:val="24"/>
          <w:lang w:val="en-ID" w:eastAsia="en-US"/>
          <w14:ligatures w14:val="standardContextual"/>
        </w:rPr>
        <w:t>Ketua</w:t>
      </w:r>
      <w:proofErr w:type="spellEnd"/>
      <w:r w:rsidRPr="00FA3885">
        <w:rPr>
          <w:rFonts w:ascii="Times New Arabic" w:hAnsi="Times New Arabic" w:cs="Times New Roman"/>
          <w:kern w:val="2"/>
          <w:sz w:val="24"/>
          <w:szCs w:val="24"/>
          <w:lang w:val="en-ID" w:eastAsia="en-US"/>
          <w14:ligatures w14:val="standardContextual"/>
        </w:rPr>
        <w:t xml:space="preserve"> Umum MUI Rokan Hilir, H. Suhaimi Hasyim, </w:t>
      </w:r>
      <w:proofErr w:type="spellStart"/>
      <w:r w:rsidRPr="00FA3885">
        <w:rPr>
          <w:rFonts w:ascii="Times New Arabic" w:hAnsi="Times New Arabic" w:cs="Times New Roman"/>
          <w:kern w:val="2"/>
          <w:sz w:val="24"/>
          <w:szCs w:val="24"/>
          <w:lang w:val="en-ID" w:eastAsia="en-US"/>
          <w14:ligatures w14:val="standardContextual"/>
        </w:rPr>
        <w:t>menegaskan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bahwa</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sikap</w:t>
      </w:r>
      <w:proofErr w:type="spellEnd"/>
      <w:r w:rsidRPr="00FA3885">
        <w:rPr>
          <w:rFonts w:ascii="Times New Arabic" w:hAnsi="Times New Arabic" w:cs="Times New Roman"/>
          <w:kern w:val="2"/>
          <w:sz w:val="24"/>
          <w:szCs w:val="24"/>
          <w:lang w:val="en-ID" w:eastAsia="en-US"/>
          <w14:ligatures w14:val="standardContextual"/>
        </w:rPr>
        <w:t xml:space="preserve"> MUI </w:t>
      </w:r>
      <w:proofErr w:type="spellStart"/>
      <w:r w:rsidRPr="00FA3885">
        <w:rPr>
          <w:rFonts w:ascii="Times New Arabic" w:hAnsi="Times New Arabic" w:cs="Times New Roman"/>
          <w:kern w:val="2"/>
          <w:sz w:val="24"/>
          <w:szCs w:val="24"/>
          <w:lang w:val="en-ID" w:eastAsia="en-US"/>
          <w14:ligatures w14:val="standardContextual"/>
        </w:rPr>
        <w:t>didasarkan</w:t>
      </w:r>
      <w:proofErr w:type="spellEnd"/>
      <w:r w:rsidRPr="00FA3885">
        <w:rPr>
          <w:rFonts w:ascii="Times New Arabic" w:hAnsi="Times New Arabic" w:cs="Times New Roman"/>
          <w:kern w:val="2"/>
          <w:sz w:val="24"/>
          <w:szCs w:val="24"/>
          <w:lang w:val="en-ID" w:eastAsia="en-US"/>
          <w14:ligatures w14:val="standardContextual"/>
        </w:rPr>
        <w:t xml:space="preserve"> pada </w:t>
      </w:r>
      <w:proofErr w:type="spellStart"/>
      <w:r w:rsidRPr="00FA3885">
        <w:rPr>
          <w:rFonts w:ascii="Times New Arabic" w:hAnsi="Times New Arabic" w:cs="Times New Roman"/>
          <w:kern w:val="2"/>
          <w:sz w:val="24"/>
          <w:szCs w:val="24"/>
          <w:lang w:val="en-ID" w:eastAsia="en-US"/>
          <w14:ligatures w14:val="standardContextual"/>
        </w:rPr>
        <w:t>prinsip</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i/>
          <w:iCs/>
          <w:kern w:val="2"/>
          <w:sz w:val="24"/>
          <w:szCs w:val="24"/>
          <w:lang w:val="en-ID" w:eastAsia="en-US"/>
          <w14:ligatures w14:val="standardContextual"/>
        </w:rPr>
        <w:t>fikih</w:t>
      </w:r>
      <w:proofErr w:type="spellEnd"/>
      <w:r w:rsidRPr="00FA3885">
        <w:rPr>
          <w:rFonts w:ascii="Times New Arabic" w:hAnsi="Times New Arabic" w:cs="Times New Roman"/>
          <w:i/>
          <w:iCs/>
          <w:kern w:val="2"/>
          <w:sz w:val="24"/>
          <w:szCs w:val="24"/>
          <w:lang w:val="en-ID" w:eastAsia="en-US"/>
          <w14:ligatures w14:val="standardContextual"/>
        </w:rPr>
        <w:t xml:space="preserve"> </w:t>
      </w:r>
      <w:proofErr w:type="spellStart"/>
      <w:r w:rsidRPr="00FA3885">
        <w:rPr>
          <w:rFonts w:ascii="Times New Arabic" w:hAnsi="Times New Arabic" w:cs="Times New Roman"/>
          <w:i/>
          <w:iCs/>
          <w:kern w:val="2"/>
          <w:sz w:val="24"/>
          <w:szCs w:val="24"/>
          <w:lang w:val="en-ID" w:eastAsia="en-US"/>
          <w14:ligatures w14:val="standardContextual"/>
        </w:rPr>
        <w:t>tasyabbuh</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yakni</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larangan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menyerupai</w:t>
      </w:r>
      <w:proofErr w:type="spellEnd"/>
      <w:r w:rsidRPr="00FA3885">
        <w:rPr>
          <w:rFonts w:ascii="Times New Arabic" w:hAnsi="Times New Arabic" w:cs="Times New Roman"/>
          <w:kern w:val="2"/>
          <w:sz w:val="24"/>
          <w:szCs w:val="24"/>
          <w:lang w:val="en-ID" w:eastAsia="en-US"/>
          <w14:ligatures w14:val="standardContextual"/>
        </w:rPr>
        <w:t xml:space="preserve"> ibadah agama lain. MUI </w:t>
      </w:r>
      <w:proofErr w:type="spellStart"/>
      <w:r w:rsidRPr="00FA3885">
        <w:rPr>
          <w:rFonts w:ascii="Times New Arabic" w:hAnsi="Times New Arabic" w:cs="Times New Roman"/>
          <w:kern w:val="2"/>
          <w:sz w:val="24"/>
          <w:szCs w:val="24"/>
          <w:lang w:val="en-ID" w:eastAsia="en-US"/>
          <w14:ligatures w14:val="standardContextual"/>
        </w:rPr>
        <w:t>membedakan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antara</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peran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sebagai</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i/>
          <w:iCs/>
          <w:kern w:val="2"/>
          <w:sz w:val="24"/>
          <w:szCs w:val="24"/>
          <w:lang w:val="en-ID" w:eastAsia="en-US"/>
          <w14:ligatures w14:val="standardContextual"/>
        </w:rPr>
        <w:t>pemain</w:t>
      </w:r>
      <w:proofErr w:type="spellEnd"/>
      <w:r w:rsidRPr="00FA3885">
        <w:rPr>
          <w:rFonts w:ascii="Times New Arabic" w:hAnsi="Times New Arabic" w:cs="Times New Roman"/>
          <w:kern w:val="2"/>
          <w:sz w:val="24"/>
          <w:szCs w:val="24"/>
          <w:lang w:val="en-ID" w:eastAsia="en-US"/>
          <w14:ligatures w14:val="standardContextual"/>
        </w:rPr>
        <w:t xml:space="preserve"> dan </w:t>
      </w:r>
      <w:proofErr w:type="spellStart"/>
      <w:r w:rsidRPr="00FA3885">
        <w:rPr>
          <w:rFonts w:ascii="Times New Arabic" w:hAnsi="Times New Arabic" w:cs="Times New Roman"/>
          <w:i/>
          <w:iCs/>
          <w:kern w:val="2"/>
          <w:sz w:val="24"/>
          <w:szCs w:val="24"/>
          <w:lang w:val="en-ID" w:eastAsia="en-US"/>
          <w14:ligatures w14:val="standardContextual"/>
        </w:rPr>
        <w:t>penonton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Menurutnya</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umat</w:t>
      </w:r>
      <w:proofErr w:type="spellEnd"/>
      <w:r w:rsidRPr="00FA3885">
        <w:rPr>
          <w:rFonts w:ascii="Times New Arabic" w:hAnsi="Times New Arabic" w:cs="Times New Roman"/>
          <w:kern w:val="2"/>
          <w:sz w:val="24"/>
          <w:szCs w:val="24"/>
          <w:lang w:val="en-ID" w:eastAsia="en-US"/>
          <w14:ligatures w14:val="standardContextual"/>
        </w:rPr>
        <w:t xml:space="preserve"> Muslim </w:t>
      </w:r>
      <w:proofErr w:type="spellStart"/>
      <w:r w:rsidRPr="00FA3885">
        <w:rPr>
          <w:rFonts w:ascii="Times New Arabic" w:hAnsi="Times New Arabic" w:cs="Times New Roman"/>
          <w:kern w:val="2"/>
          <w:sz w:val="24"/>
          <w:szCs w:val="24"/>
          <w:lang w:val="en-ID" w:eastAsia="en-US"/>
          <w14:ligatures w14:val="standardContextual"/>
        </w:rPr>
        <w:t>tidak</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diperbolehkan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menjadi</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pemain</w:t>
      </w:r>
      <w:proofErr w:type="spellEnd"/>
      <w:r w:rsidRPr="00FA3885">
        <w:rPr>
          <w:rFonts w:ascii="Times New Arabic" w:hAnsi="Times New Arabic" w:cs="Times New Roman"/>
          <w:kern w:val="2"/>
          <w:sz w:val="24"/>
          <w:szCs w:val="24"/>
          <w:lang w:val="en-ID" w:eastAsia="en-US"/>
          <w14:ligatures w14:val="standardContextual"/>
        </w:rPr>
        <w:t xml:space="preserve"> yang </w:t>
      </w:r>
      <w:proofErr w:type="spellStart"/>
      <w:r w:rsidRPr="00FA3885">
        <w:rPr>
          <w:rFonts w:ascii="Times New Arabic" w:hAnsi="Times New Arabic" w:cs="Times New Roman"/>
          <w:kern w:val="2"/>
          <w:sz w:val="24"/>
          <w:szCs w:val="24"/>
          <w:lang w:val="en-ID" w:eastAsia="en-US"/>
          <w14:ligatures w14:val="standardContextual"/>
        </w:rPr>
        <w:t>ikut</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serta</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dalam</w:t>
      </w:r>
      <w:proofErr w:type="spellEnd"/>
      <w:r w:rsidRPr="00FA3885">
        <w:rPr>
          <w:rFonts w:ascii="Times New Arabic" w:hAnsi="Times New Arabic" w:cs="Times New Roman"/>
          <w:kern w:val="2"/>
          <w:sz w:val="24"/>
          <w:szCs w:val="24"/>
          <w:lang w:val="en-ID" w:eastAsia="en-US"/>
          <w14:ligatures w14:val="standardContextual"/>
        </w:rPr>
        <w:t xml:space="preserve"> ritual inti </w:t>
      </w:r>
      <w:proofErr w:type="spellStart"/>
      <w:r w:rsidRPr="00FA3885">
        <w:rPr>
          <w:rFonts w:ascii="Times New Arabic" w:hAnsi="Times New Arabic" w:cs="Times New Roman"/>
          <w:kern w:val="2"/>
          <w:sz w:val="24"/>
          <w:szCs w:val="24"/>
          <w:lang w:val="en-ID" w:eastAsia="en-US"/>
          <w14:ligatures w14:val="standardContextual"/>
        </w:rPr>
        <w:t>seperti</w:t>
      </w:r>
      <w:proofErr w:type="spellEnd"/>
      <w:r w:rsidRPr="00FA3885">
        <w:rPr>
          <w:rFonts w:ascii="Times New Arabic" w:hAnsi="Times New Arabic" w:cs="Times New Roman"/>
          <w:kern w:val="2"/>
          <w:sz w:val="24"/>
          <w:szCs w:val="24"/>
          <w:lang w:val="en-ID" w:eastAsia="en-US"/>
          <w14:ligatures w14:val="standardContextual"/>
        </w:rPr>
        <w:t xml:space="preserve"> arak-</w:t>
      </w:r>
      <w:proofErr w:type="spellStart"/>
      <w:r w:rsidRPr="00FA3885">
        <w:rPr>
          <w:rFonts w:ascii="Times New Arabic" w:hAnsi="Times New Arabic" w:cs="Times New Roman"/>
          <w:kern w:val="2"/>
          <w:sz w:val="24"/>
          <w:szCs w:val="24"/>
          <w:lang w:val="en-ID" w:eastAsia="en-US"/>
          <w14:ligatures w14:val="standardContextual"/>
        </w:rPr>
        <w:t>arakan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atau</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pembakaran</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kapal</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replika</w:t>
      </w:r>
      <w:proofErr w:type="spellEnd"/>
      <w:r w:rsidRPr="00FA3885">
        <w:rPr>
          <w:rFonts w:ascii="Times New Arabic" w:hAnsi="Times New Arabic" w:cs="Times New Roman"/>
          <w:kern w:val="2"/>
          <w:sz w:val="24"/>
          <w:szCs w:val="24"/>
          <w:lang w:val="en-ID" w:eastAsia="en-US"/>
          <w14:ligatures w14:val="standardContextual"/>
        </w:rPr>
        <w:t xml:space="preserve"> yang </w:t>
      </w:r>
      <w:proofErr w:type="spellStart"/>
      <w:r w:rsidRPr="00FA3885">
        <w:rPr>
          <w:rFonts w:ascii="Times New Arabic" w:hAnsi="Times New Arabic" w:cs="Times New Roman"/>
          <w:kern w:val="2"/>
          <w:sz w:val="24"/>
          <w:szCs w:val="24"/>
          <w:lang w:val="en-ID" w:eastAsia="en-US"/>
          <w14:ligatures w14:val="standardContextual"/>
        </w:rPr>
        <w:t>telah</w:t>
      </w:r>
      <w:proofErr w:type="spellEnd"/>
      <w:r w:rsidRPr="00FA3885">
        <w:rPr>
          <w:rFonts w:ascii="Times New Arabic" w:hAnsi="Times New Arabic" w:cs="Times New Roman"/>
          <w:kern w:val="2"/>
          <w:sz w:val="24"/>
          <w:szCs w:val="24"/>
          <w:lang w:val="en-ID" w:eastAsia="en-US"/>
          <w14:ligatures w14:val="standardContextual"/>
        </w:rPr>
        <w:t xml:space="preserve"> </w:t>
      </w:r>
      <w:proofErr w:type="spellStart"/>
      <w:r w:rsidRPr="00FA3885">
        <w:rPr>
          <w:rFonts w:ascii="Times New Arabic" w:hAnsi="Times New Arabic" w:cs="Times New Roman"/>
          <w:kern w:val="2"/>
          <w:sz w:val="24"/>
          <w:szCs w:val="24"/>
          <w:lang w:val="en-ID" w:eastAsia="en-US"/>
          <w14:ligatures w14:val="standardContextual"/>
        </w:rPr>
        <w:t>didoakan</w:t>
      </w:r>
      <w:proofErr w:type="spellEnd"/>
      <w:r w:rsidRPr="00FA3885">
        <w:rPr>
          <w:rFonts w:ascii="Times New Arabic" w:hAnsi="Times New Arabic" w:cs="Times New Roman"/>
          <w:kern w:val="2"/>
          <w:sz w:val="24"/>
          <w:szCs w:val="24"/>
          <w:lang w:val="en-ID" w:eastAsia="en-US"/>
          <w14:ligatures w14:val="standardContextual"/>
        </w:rPr>
        <w:t xml:space="preserve">. </w:t>
      </w:r>
      <w:r w:rsidRPr="00FA3885">
        <w:rPr>
          <w:rFonts w:ascii="Times New Arabic" w:hAnsi="Times New Arabic" w:cs="Times New Roman"/>
          <w:kern w:val="2"/>
          <w:sz w:val="24"/>
          <w:szCs w:val="24"/>
          <w:lang w:val="nb-NO" w:eastAsia="en-US"/>
          <w14:ligatures w14:val="standardContextual"/>
        </w:rPr>
        <w:t xml:space="preserve">Namun, menjadi penonton yang sekadar menyaksikan dan mengambil manfaat dari sisi </w:t>
      </w:r>
      <w:r w:rsidRPr="00FA3885">
        <w:rPr>
          <w:rFonts w:ascii="Times New Arabic" w:hAnsi="Times New Arabic" w:cs="Times New Roman"/>
          <w:kern w:val="2"/>
          <w:sz w:val="24"/>
          <w:szCs w:val="24"/>
          <w:lang w:val="nb-NO" w:eastAsia="en-US"/>
          <w14:ligatures w14:val="standardContextual"/>
        </w:rPr>
        <w:lastRenderedPageBreak/>
        <w:t>ekonomi dinilai diperbolehkan. Pendekatan ini dimaksudkan untuk menjaga akidah tanpa mengorbankan kerukunan antarumat beragama.</w:t>
      </w:r>
      <w:r w:rsidRPr="00FA3885">
        <w:rPr>
          <w:rFonts w:ascii="Times New Arabic" w:hAnsi="Times New Arabic" w:cs="Times New Roman"/>
          <w:kern w:val="2"/>
          <w:sz w:val="24"/>
          <w:szCs w:val="24"/>
          <w:vertAlign w:val="superscript"/>
          <w:lang w:val="nb-NO" w:eastAsia="en-US"/>
          <w14:ligatures w14:val="standardContextual"/>
        </w:rPr>
        <w:footnoteReference w:id="26"/>
      </w:r>
    </w:p>
    <w:p w14:paraId="2BE1D8B1" w14:textId="77777777" w:rsidR="003734C5" w:rsidRPr="00FA3885" w:rsidRDefault="003734C5" w:rsidP="00FA3885">
      <w:pPr>
        <w:spacing w:after="0"/>
        <w:ind w:left="720"/>
        <w:contextualSpacing/>
        <w:jc w:val="both"/>
        <w:rPr>
          <w:rFonts w:ascii="Times New Arabic" w:hAnsi="Times New Arabic" w:cs="Times New Roman"/>
          <w:kern w:val="2"/>
          <w:sz w:val="24"/>
          <w:szCs w:val="24"/>
          <w:lang w:val="sv-SE" w:eastAsia="en-US"/>
          <w14:ligatures w14:val="standardContextual"/>
        </w:rPr>
      </w:pPr>
    </w:p>
    <w:p w14:paraId="1958CEEF" w14:textId="77777777" w:rsidR="00FA3885" w:rsidRPr="00FA3885" w:rsidRDefault="00FA3885" w:rsidP="00FA3885">
      <w:pPr>
        <w:numPr>
          <w:ilvl w:val="0"/>
          <w:numId w:val="42"/>
        </w:numPr>
        <w:spacing w:after="0"/>
        <w:contextualSpacing/>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Pandangan Kementerian Agama (Kemenag)</w:t>
      </w:r>
    </w:p>
    <w:p w14:paraId="7F076490" w14:textId="77777777" w:rsidR="00FA3885" w:rsidRDefault="00FA3885" w:rsidP="00FA3885">
      <w:pPr>
        <w:spacing w:after="0"/>
        <w:ind w:left="720"/>
        <w:contextualSpacing/>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Dr. Ahmad Fauzi, perwakilan Kemenag Provinsi Riau, menjelaskan bahwa Kemenag berfokus pada moderasi beragama dan harmoni sosial. Kemenag melihat Bakar Tongkang sebagai aset budaya dan pariwisata yang dapat mempererat persaudaraan. Berbeda dengan MUI, Kemenag tidak masuk ke ranah teologis, melainkan memastikan kegiatan berlangsung kondusif dan selaras dengan kebijakan publik. Kolaborasi antara MUI dan Kemenag dipandang sebagai pembagian peran strategis: MUI mengurus aspek teologis, sedangkan Kemenag mengelola aspek sosial dan kebudayaan.</w:t>
      </w:r>
      <w:r w:rsidRPr="00FA3885">
        <w:rPr>
          <w:rFonts w:ascii="Times New Arabic" w:hAnsi="Times New Arabic" w:cs="Times New Roman"/>
          <w:kern w:val="2"/>
          <w:sz w:val="24"/>
          <w:szCs w:val="24"/>
          <w:vertAlign w:val="superscript"/>
          <w:lang w:val="nb-NO" w:eastAsia="en-US"/>
          <w14:ligatures w14:val="standardContextual"/>
        </w:rPr>
        <w:footnoteReference w:id="27"/>
      </w:r>
    </w:p>
    <w:p w14:paraId="5129BA76" w14:textId="77777777" w:rsidR="003734C5" w:rsidRPr="00FA3885" w:rsidRDefault="003734C5" w:rsidP="00FA3885">
      <w:pPr>
        <w:spacing w:after="0"/>
        <w:ind w:left="720"/>
        <w:contextualSpacing/>
        <w:jc w:val="both"/>
        <w:rPr>
          <w:rFonts w:ascii="Times New Arabic" w:hAnsi="Times New Arabic" w:cs="Times New Roman"/>
          <w:kern w:val="2"/>
          <w:sz w:val="24"/>
          <w:szCs w:val="24"/>
          <w:lang w:val="nb-NO" w:eastAsia="en-US"/>
          <w14:ligatures w14:val="standardContextual"/>
        </w:rPr>
      </w:pPr>
    </w:p>
    <w:p w14:paraId="59A9DBED" w14:textId="77777777" w:rsidR="00FA3885" w:rsidRPr="00FA3885" w:rsidRDefault="00FA3885" w:rsidP="00FA3885">
      <w:pPr>
        <w:numPr>
          <w:ilvl w:val="0"/>
          <w:numId w:val="42"/>
        </w:numPr>
        <w:spacing w:after="0"/>
        <w:contextualSpacing/>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Pandangan Tokoh Agama Lokal</w:t>
      </w:r>
    </w:p>
    <w:p w14:paraId="6466F76D" w14:textId="77777777" w:rsidR="00FA3885" w:rsidRPr="00FA3885" w:rsidRDefault="00FA3885" w:rsidP="00FA3885">
      <w:pPr>
        <w:spacing w:after="0"/>
        <w:ind w:left="720"/>
        <w:contextualSpacing/>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K.H. Idris Mansyur, seorang ulama di Rokan Hilir, menekankan pentingnya membedakan antara menghormati dan mengikuti. Ia mengajak umat Muslim untuk hadir sebagai warga negara yang baik dan tamu yang sopan, tanpa terlibat dalam ibadah agama lain. Menurutnya, literasi keagamaan dan budaya merupakan kunci untuk menghindari prasangka dan menjaga kerukunan. Kehadiran umat Muslim di Bakar Tongkang diposisikan sebagai bentuk silaturahmi dan penguatan persaudaraan.</w:t>
      </w:r>
      <w:r w:rsidRPr="00FA3885">
        <w:rPr>
          <w:rFonts w:ascii="Times New Arabic" w:hAnsi="Times New Arabic" w:cs="Times New Roman"/>
          <w:kern w:val="2"/>
          <w:sz w:val="24"/>
          <w:szCs w:val="24"/>
          <w:vertAlign w:val="superscript"/>
          <w:lang w:val="nb-NO" w:eastAsia="en-US"/>
          <w14:ligatures w14:val="standardContextual"/>
        </w:rPr>
        <w:footnoteReference w:id="28"/>
      </w:r>
    </w:p>
    <w:p w14:paraId="5D2EF2C1" w14:textId="77777777" w:rsidR="00FA3885" w:rsidRDefault="00FA3885" w:rsidP="00FA3885">
      <w:pPr>
        <w:spacing w:after="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Tanggapan tokoh Islam terhadap perayaan Bakar Tongkang menunjukkan adanya perbedaan fokus namun tujuan yang sama, yakni menjaga kerukunan dan identitas keagamaan. MUI mengambil peran dalam menetapkan batasan fikih, Kemenag mengelola aspek sosial dan pariwisata, sedangkan ulama lokal membina masyarakat dengan pendekatan literasi agama dan budaya. Perbedaan peran ini justru memperkuat kolaborasi dalam menciptakan harmoni di tengah keberagaman. Temuan ini dapat menjadi model pendekatan kolaboratif antara lembaga keagamaan, pemerintah, dan tokoh masyarakat dalam mengelola tradisi yang melibatkan lintas agama di Indonesia.</w:t>
      </w:r>
    </w:p>
    <w:p w14:paraId="4DD1A8EA" w14:textId="77777777" w:rsidR="003734C5" w:rsidRPr="00FA3885" w:rsidRDefault="003734C5" w:rsidP="00FA3885">
      <w:pPr>
        <w:spacing w:after="0"/>
        <w:jc w:val="both"/>
        <w:rPr>
          <w:rFonts w:ascii="Times New Arabic" w:hAnsi="Times New Arabic" w:cs="Times New Roman"/>
          <w:kern w:val="2"/>
          <w:sz w:val="24"/>
          <w:szCs w:val="24"/>
          <w:lang w:val="nb-NO" w:eastAsia="en-US"/>
          <w14:ligatures w14:val="standardContextual"/>
        </w:rPr>
      </w:pPr>
    </w:p>
    <w:p w14:paraId="6D23AE00" w14:textId="35250E43" w:rsidR="00FA3885" w:rsidRPr="003734C5" w:rsidRDefault="00FA3885" w:rsidP="003734C5">
      <w:pPr>
        <w:pStyle w:val="DaftarParagraf"/>
        <w:numPr>
          <w:ilvl w:val="0"/>
          <w:numId w:val="43"/>
        </w:numPr>
        <w:spacing w:after="0"/>
        <w:ind w:left="284" w:hanging="284"/>
        <w:jc w:val="both"/>
        <w:rPr>
          <w:rFonts w:ascii="Times New Arabic" w:hAnsi="Times New Arabic"/>
          <w:b/>
          <w:bCs/>
          <w:kern w:val="2"/>
          <w:sz w:val="24"/>
          <w:szCs w:val="24"/>
          <w:lang w:val="nb-NO" w:eastAsia="en-US"/>
          <w14:ligatures w14:val="standardContextual"/>
        </w:rPr>
      </w:pPr>
      <w:r w:rsidRPr="003734C5">
        <w:rPr>
          <w:rFonts w:ascii="Times New Arabic" w:hAnsi="Times New Arabic"/>
          <w:b/>
          <w:bCs/>
          <w:kern w:val="2"/>
          <w:sz w:val="24"/>
          <w:szCs w:val="24"/>
          <w:lang w:val="nb-NO" w:eastAsia="en-US"/>
          <w14:ligatures w14:val="standardContextual"/>
        </w:rPr>
        <w:t>Tinjauan Sosial dan Teologis Mengenai Keterlibatan Muslim dalam Perayaan Keagamaan Non-Islam</w:t>
      </w:r>
    </w:p>
    <w:p w14:paraId="79B22617" w14:textId="00CF08D2" w:rsidR="00FA3885" w:rsidRPr="00FA3885" w:rsidRDefault="00FA3885" w:rsidP="003734C5">
      <w:pPr>
        <w:spacing w:after="0"/>
        <w:ind w:firstLine="709"/>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Hasil wawancara menunjukkan bahwa kehadiran umat Islam dalam perayaan Bakar Tongkang menimbulkan respons sosial yang beragam, tetapi secara umum mengarah pada ketegangan antara nilai </w:t>
      </w:r>
      <w:r w:rsidRPr="00FA3885">
        <w:rPr>
          <w:rFonts w:ascii="Times New Arabic" w:hAnsi="Times New Arabic" w:cs="Times New Roman"/>
          <w:i/>
          <w:iCs/>
          <w:kern w:val="2"/>
          <w:sz w:val="24"/>
          <w:szCs w:val="24"/>
          <w:lang w:val="nb-NO" w:eastAsia="en-US"/>
          <w14:ligatures w14:val="standardContextual"/>
        </w:rPr>
        <w:t>ukhuwah insaniyah</w:t>
      </w:r>
      <w:r w:rsidRPr="00FA3885">
        <w:rPr>
          <w:rFonts w:ascii="Times New Arabic" w:hAnsi="Times New Arabic" w:cs="Times New Roman"/>
          <w:kern w:val="2"/>
          <w:sz w:val="24"/>
          <w:szCs w:val="24"/>
          <w:lang w:val="nb-NO" w:eastAsia="en-US"/>
          <w14:ligatures w14:val="standardContextual"/>
        </w:rPr>
        <w:t xml:space="preserve"> (persaudaraan kemanusiaan) dan </w:t>
      </w:r>
      <w:r w:rsidRPr="00FA3885">
        <w:rPr>
          <w:rFonts w:ascii="Times New Arabic" w:hAnsi="Times New Arabic" w:cs="Times New Roman"/>
          <w:i/>
          <w:iCs/>
          <w:kern w:val="2"/>
          <w:sz w:val="24"/>
          <w:szCs w:val="24"/>
          <w:lang w:val="nb-NO" w:eastAsia="en-US"/>
          <w14:ligatures w14:val="standardContextual"/>
        </w:rPr>
        <w:t>ghirah diniyah</w:t>
      </w:r>
      <w:r w:rsidRPr="00FA3885">
        <w:rPr>
          <w:rFonts w:ascii="Times New Arabic" w:hAnsi="Times New Arabic" w:cs="Times New Roman"/>
          <w:kern w:val="2"/>
          <w:sz w:val="24"/>
          <w:szCs w:val="24"/>
          <w:lang w:val="nb-NO" w:eastAsia="en-US"/>
          <w14:ligatures w14:val="standardContextual"/>
        </w:rPr>
        <w:t xml:space="preserve"> (semangat menjaga kemurnian agama). Sebagian narasumber menilai bahwa kehadiran Muslim, meskipun hanya sebagai penonton, berisiko menormalisasi keberagamaan sinkretik di mata publik. Kehadiran ini dapat dimaknai sebagai persetujuan terselubung atas ritual keagamaan non-Islam, terutama jika dilakukan tanpa disertai penjelasan atau batasan yang jelas.</w:t>
      </w:r>
      <w:r w:rsidR="003734C5">
        <w:rPr>
          <w:rFonts w:ascii="Times New Arabic" w:hAnsi="Times New Arabic" w:cs="Times New Roman"/>
          <w:kern w:val="2"/>
          <w:sz w:val="24"/>
          <w:szCs w:val="24"/>
          <w:lang w:val="nb-NO" w:eastAsia="en-US"/>
          <w14:ligatures w14:val="standardContextual"/>
        </w:rPr>
        <w:t xml:space="preserve"> </w:t>
      </w:r>
      <w:r w:rsidRPr="00FA3885">
        <w:rPr>
          <w:rFonts w:ascii="Times New Arabic" w:hAnsi="Times New Arabic" w:cs="Times New Roman"/>
          <w:kern w:val="2"/>
          <w:sz w:val="24"/>
          <w:szCs w:val="24"/>
          <w:lang w:val="nb-NO" w:eastAsia="en-US"/>
          <w14:ligatures w14:val="standardContextual"/>
        </w:rPr>
        <w:t xml:space="preserve">Para narasumber juga menyampaikan kekhawatiran terhadap dimensi </w:t>
      </w:r>
      <w:r w:rsidRPr="00FA3885">
        <w:rPr>
          <w:rFonts w:ascii="Times New Arabic" w:hAnsi="Times New Arabic" w:cs="Times New Roman"/>
          <w:i/>
          <w:iCs/>
          <w:kern w:val="2"/>
          <w:sz w:val="24"/>
          <w:szCs w:val="24"/>
          <w:lang w:val="nb-NO" w:eastAsia="en-US"/>
          <w14:ligatures w14:val="standardContextual"/>
        </w:rPr>
        <w:t xml:space="preserve">social </w:t>
      </w:r>
      <w:r w:rsidRPr="00FA3885">
        <w:rPr>
          <w:rFonts w:ascii="Times New Arabic" w:hAnsi="Times New Arabic" w:cs="Times New Roman"/>
          <w:i/>
          <w:iCs/>
          <w:kern w:val="2"/>
          <w:sz w:val="24"/>
          <w:szCs w:val="24"/>
          <w:lang w:val="nb-NO" w:eastAsia="en-US"/>
          <w14:ligatures w14:val="standardContextual"/>
        </w:rPr>
        <w:lastRenderedPageBreak/>
        <w:t>approval</w:t>
      </w:r>
      <w:r w:rsidRPr="00FA3885">
        <w:rPr>
          <w:rFonts w:ascii="Times New Arabic" w:hAnsi="Times New Arabic" w:cs="Times New Roman"/>
          <w:kern w:val="2"/>
          <w:sz w:val="24"/>
          <w:szCs w:val="24"/>
          <w:lang w:val="nb-NO" w:eastAsia="en-US"/>
          <w14:ligatures w14:val="standardContextual"/>
        </w:rPr>
        <w:t xml:space="preserve"> yang timbul dari kehadiran umat Islam di acara tersebut. Dalam perspektif publik, kehadiran pasif dapat dimaknai sebagai bentuk legitimasi terhadap keyakinan lain, yang berpotensi mengikis kejelasan identitas Islam. Hal ini juga menciptakan ambiguitas di hadapan generasi muda yang belum memiliki landasan keagamaan kuat.</w:t>
      </w:r>
      <w:r w:rsidR="003734C5">
        <w:rPr>
          <w:rFonts w:ascii="Times New Arabic" w:hAnsi="Times New Arabic" w:cs="Times New Roman"/>
          <w:kern w:val="2"/>
          <w:sz w:val="24"/>
          <w:szCs w:val="24"/>
          <w:lang w:val="nb-NO" w:eastAsia="en-US"/>
          <w14:ligatures w14:val="standardContextual"/>
        </w:rPr>
        <w:t xml:space="preserve"> </w:t>
      </w:r>
      <w:r w:rsidRPr="00FA3885">
        <w:rPr>
          <w:rFonts w:ascii="Times New Arabic" w:hAnsi="Times New Arabic" w:cs="Times New Roman"/>
          <w:kern w:val="2"/>
          <w:sz w:val="24"/>
          <w:szCs w:val="24"/>
          <w:lang w:val="nb-NO" w:eastAsia="en-US"/>
          <w14:ligatures w14:val="standardContextual"/>
        </w:rPr>
        <w:t xml:space="preserve">Dalam literatur Islam klasik, partisipasi dalam ritual keagamaan agama lain secara umum dilarang karena dianggap melanggar prinsip tauhid dan menciptakan potensi </w:t>
      </w:r>
      <w:r w:rsidRPr="00FA3885">
        <w:rPr>
          <w:rFonts w:ascii="Times New Arabic" w:hAnsi="Times New Arabic" w:cs="Times New Roman"/>
          <w:i/>
          <w:iCs/>
          <w:kern w:val="2"/>
          <w:sz w:val="24"/>
          <w:szCs w:val="24"/>
          <w:lang w:val="nb-NO" w:eastAsia="en-US"/>
          <w14:ligatures w14:val="standardContextual"/>
        </w:rPr>
        <w:t>tasyabbuh</w:t>
      </w:r>
      <w:r w:rsidRPr="00FA3885">
        <w:rPr>
          <w:rFonts w:ascii="Times New Arabic" w:hAnsi="Times New Arabic" w:cs="Times New Roman"/>
          <w:kern w:val="2"/>
          <w:sz w:val="24"/>
          <w:szCs w:val="24"/>
          <w:lang w:val="nb-NO" w:eastAsia="en-US"/>
          <w14:ligatures w14:val="standardContextual"/>
        </w:rPr>
        <w:t xml:space="preserve"> yang dapat mencederai integritas akidah. Namun, pemikiran fiqh kontemporer mengarah pada pendekatan yang lebih kontekstual. Maknun et al.</w:t>
      </w:r>
      <w:r w:rsidRPr="00FA3885">
        <w:rPr>
          <w:rFonts w:ascii="Times New Arabic" w:hAnsi="Times New Arabic" w:cs="Times New Roman"/>
          <w:kern w:val="2"/>
          <w:sz w:val="24"/>
          <w:szCs w:val="24"/>
          <w:vertAlign w:val="superscript"/>
          <w:lang w:val="nb-NO" w:eastAsia="en-US"/>
          <w14:ligatures w14:val="standardContextual"/>
        </w:rPr>
        <w:footnoteReference w:id="29"/>
      </w:r>
      <w:r w:rsidRPr="00FA3885">
        <w:rPr>
          <w:rFonts w:ascii="Times New Arabic" w:hAnsi="Times New Arabic" w:cs="Times New Roman"/>
          <w:kern w:val="2"/>
          <w:sz w:val="24"/>
          <w:szCs w:val="24"/>
          <w:lang w:val="nb-NO" w:eastAsia="en-US"/>
          <w14:ligatures w14:val="standardContextual"/>
        </w:rPr>
        <w:t xml:space="preserve"> dan Al-Asy’ari et al.</w:t>
      </w:r>
      <w:r w:rsidRPr="00FA3885">
        <w:rPr>
          <w:rFonts w:ascii="Times New Arabic" w:hAnsi="Times New Arabic" w:cs="Times New Roman"/>
          <w:kern w:val="2"/>
          <w:sz w:val="24"/>
          <w:szCs w:val="24"/>
          <w:vertAlign w:val="superscript"/>
          <w:lang w:val="nb-NO" w:eastAsia="en-US"/>
          <w14:ligatures w14:val="standardContextual"/>
        </w:rPr>
        <w:footnoteReference w:id="30"/>
      </w:r>
      <w:r w:rsidRPr="00FA3885">
        <w:rPr>
          <w:rFonts w:ascii="Times New Arabic" w:hAnsi="Times New Arabic" w:cs="Times New Roman"/>
          <w:kern w:val="2"/>
          <w:sz w:val="24"/>
          <w:szCs w:val="24"/>
          <w:lang w:val="nb-NO" w:eastAsia="en-US"/>
          <w14:ligatures w14:val="standardContextual"/>
        </w:rPr>
        <w:t xml:space="preserve"> menegaskan bahwa keterlibatan simbolik dalam aktivitas keagamaan lain, jika dilakukan dengan niat menjaga hubungan sosial dan tanpa melibatkan unsur akidah, dapat diterima secara etis dalam kerangka koeksistensi damai.</w:t>
      </w:r>
    </w:p>
    <w:p w14:paraId="4E123E67" w14:textId="7D210B75" w:rsidR="00FA3885" w:rsidRPr="00FA3885" w:rsidRDefault="00FA3885" w:rsidP="003734C5">
      <w:pPr>
        <w:spacing w:after="0"/>
        <w:ind w:firstLine="709"/>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Fenomena serupa juga terjadi di Indonesia pada momen seperti Imlek, Cap Go Meh, atau Ngaben, di mana umat Islam terkadang hadir sebagai bentuk penghormatan terhadap keragaman budaya. Hannan dan Umam menekankan bahwa keterlibatan simbolik seperti ini dapat menjadi ekspresi identitas sosial Islam yang terbuka dan inklusif.</w:t>
      </w:r>
      <w:r w:rsidRPr="00FA3885">
        <w:rPr>
          <w:rFonts w:ascii="Times New Arabic" w:hAnsi="Times New Arabic" w:cs="Times New Roman"/>
          <w:kern w:val="2"/>
          <w:sz w:val="24"/>
          <w:szCs w:val="24"/>
          <w:vertAlign w:val="superscript"/>
          <w:lang w:val="nb-NO" w:eastAsia="en-US"/>
          <w14:ligatures w14:val="standardContextual"/>
        </w:rPr>
        <w:footnoteReference w:id="31"/>
      </w:r>
      <w:r w:rsidRPr="00FA3885">
        <w:rPr>
          <w:rFonts w:ascii="Times New Arabic" w:hAnsi="Times New Arabic" w:cs="Times New Roman"/>
          <w:kern w:val="2"/>
          <w:sz w:val="24"/>
          <w:szCs w:val="24"/>
          <w:lang w:val="nb-NO" w:eastAsia="en-US"/>
          <w14:ligatures w14:val="standardContextual"/>
        </w:rPr>
        <w:t xml:space="preserve"> Akan tetapi, tantangan tetap ada dari sisi </w:t>
      </w:r>
      <w:r w:rsidRPr="00FA3885">
        <w:rPr>
          <w:rFonts w:ascii="Times New Arabic" w:hAnsi="Times New Arabic" w:cs="Times New Roman"/>
          <w:i/>
          <w:iCs/>
          <w:kern w:val="2"/>
          <w:sz w:val="24"/>
          <w:szCs w:val="24"/>
          <w:lang w:val="nb-NO" w:eastAsia="en-US"/>
          <w14:ligatures w14:val="standardContextual"/>
        </w:rPr>
        <w:t>ghirah diniyah</w:t>
      </w:r>
      <w:r w:rsidRPr="00FA3885">
        <w:rPr>
          <w:rFonts w:ascii="Times New Arabic" w:hAnsi="Times New Arabic" w:cs="Times New Roman"/>
          <w:kern w:val="2"/>
          <w:sz w:val="24"/>
          <w:szCs w:val="24"/>
          <w:lang w:val="nb-NO" w:eastAsia="en-US"/>
          <w14:ligatures w14:val="standardContextual"/>
        </w:rPr>
        <w:t>, yang jika tidak diimbangi pemahaman kontekstual, dapat memicu sikap eksklusif.</w:t>
      </w:r>
      <w:r w:rsidR="003734C5">
        <w:rPr>
          <w:rFonts w:ascii="Times New Arabic" w:hAnsi="Times New Arabic" w:cs="Times New Roman"/>
          <w:kern w:val="2"/>
          <w:sz w:val="24"/>
          <w:szCs w:val="24"/>
          <w:lang w:val="nb-NO" w:eastAsia="en-US"/>
          <w14:ligatures w14:val="standardContextual"/>
        </w:rPr>
        <w:t xml:space="preserve"> </w:t>
      </w:r>
      <w:r w:rsidRPr="00FA3885">
        <w:rPr>
          <w:rFonts w:ascii="Times New Arabic" w:hAnsi="Times New Arabic" w:cs="Times New Roman"/>
          <w:kern w:val="2"/>
          <w:sz w:val="24"/>
          <w:szCs w:val="24"/>
          <w:lang w:val="nb-NO" w:eastAsia="en-US"/>
          <w14:ligatures w14:val="standardContextual"/>
        </w:rPr>
        <w:t xml:space="preserve">Rahmelia  dan Munjiat et al. menunjukkan bahwa </w:t>
      </w:r>
      <w:r w:rsidRPr="00FA3885">
        <w:rPr>
          <w:rFonts w:ascii="Times New Arabic" w:hAnsi="Times New Arabic" w:cs="Times New Roman"/>
          <w:i/>
          <w:iCs/>
          <w:kern w:val="2"/>
          <w:sz w:val="24"/>
          <w:szCs w:val="24"/>
          <w:lang w:val="nb-NO" w:eastAsia="en-US"/>
          <w14:ligatures w14:val="standardContextual"/>
        </w:rPr>
        <w:t>ghirah diniyah</w:t>
      </w:r>
      <w:r w:rsidRPr="00FA3885">
        <w:rPr>
          <w:rFonts w:ascii="Times New Arabic" w:hAnsi="Times New Arabic" w:cs="Times New Roman"/>
          <w:kern w:val="2"/>
          <w:sz w:val="24"/>
          <w:szCs w:val="24"/>
          <w:lang w:val="nb-NO" w:eastAsia="en-US"/>
          <w14:ligatures w14:val="standardContextual"/>
        </w:rPr>
        <w:t xml:space="preserve"> yang tidak disertai wawasan progresif dapat menimbulkan intoleransi.</w:t>
      </w:r>
      <w:r w:rsidRPr="00FA3885">
        <w:rPr>
          <w:rFonts w:ascii="Times New Arabic" w:hAnsi="Times New Arabic" w:cs="Times New Roman"/>
          <w:kern w:val="2"/>
          <w:sz w:val="24"/>
          <w:szCs w:val="24"/>
          <w:vertAlign w:val="superscript"/>
          <w:lang w:val="nb-NO" w:eastAsia="en-US"/>
          <w14:ligatures w14:val="standardContextual"/>
        </w:rPr>
        <w:footnoteReference w:id="32"/>
      </w:r>
      <w:r w:rsidRPr="00FA3885">
        <w:rPr>
          <w:rFonts w:ascii="Times New Arabic" w:hAnsi="Times New Arabic" w:cs="Times New Roman"/>
          <w:kern w:val="2"/>
          <w:sz w:val="24"/>
          <w:szCs w:val="24"/>
          <w:lang w:val="nb-NO" w:eastAsia="en-US"/>
          <w14:ligatures w14:val="standardContextual"/>
        </w:rPr>
        <w:t xml:space="preserve"> Oleh karena itu, posisi “hadir tapi tidak berpartisipasi” harus ditempatkan secara proporsional: ia bukan berarti otomatis menghindari </w:t>
      </w:r>
      <w:r w:rsidRPr="00FA3885">
        <w:rPr>
          <w:rFonts w:ascii="Times New Arabic" w:hAnsi="Times New Arabic" w:cs="Times New Roman"/>
          <w:i/>
          <w:iCs/>
          <w:kern w:val="2"/>
          <w:sz w:val="24"/>
          <w:szCs w:val="24"/>
          <w:lang w:val="nb-NO" w:eastAsia="en-US"/>
          <w14:ligatures w14:val="standardContextual"/>
        </w:rPr>
        <w:t>tasyabbuh</w:t>
      </w:r>
      <w:r w:rsidRPr="00FA3885">
        <w:rPr>
          <w:rFonts w:ascii="Times New Arabic" w:hAnsi="Times New Arabic" w:cs="Times New Roman"/>
          <w:kern w:val="2"/>
          <w:sz w:val="24"/>
          <w:szCs w:val="24"/>
          <w:lang w:val="nb-NO" w:eastAsia="en-US"/>
          <w14:ligatures w14:val="standardContextual"/>
        </w:rPr>
        <w:t>, tetapi memerlukan penjelasan niat, konteks, dan batasan agar tidak menimbulkan kerancuan publik.</w:t>
      </w:r>
    </w:p>
    <w:p w14:paraId="2CF0D2EE" w14:textId="77777777" w:rsidR="00FA3885" w:rsidRDefault="00FA3885" w:rsidP="003734C5">
      <w:pPr>
        <w:spacing w:after="0"/>
        <w:ind w:firstLine="709"/>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Temuan ini memperkuat hasil sebelumnya bahwa persepsi masyarakat terhadap kehadiran dalam ritual non-Islam sangat dipengaruhi pembacaan tekstual dan sensitivitas terhadap simbolisme publik. Secara teologis, kehadiran tersebut menimbulkan kekhawatiran akan penipisan batas identitas keislaman, sementara secara sosial menciptakan peluang sekaligus tantangan membangun jembatan antarumat. Ketegangan antara </w:t>
      </w:r>
      <w:r w:rsidRPr="00FA3885">
        <w:rPr>
          <w:rFonts w:ascii="Times New Arabic" w:hAnsi="Times New Arabic" w:cs="Times New Roman"/>
          <w:i/>
          <w:iCs/>
          <w:kern w:val="2"/>
          <w:sz w:val="24"/>
          <w:szCs w:val="24"/>
          <w:lang w:val="nb-NO" w:eastAsia="en-US"/>
          <w14:ligatures w14:val="standardContextual"/>
        </w:rPr>
        <w:t>ukhuwah insaniyah</w:t>
      </w:r>
      <w:r w:rsidRPr="00FA3885">
        <w:rPr>
          <w:rFonts w:ascii="Times New Arabic" w:hAnsi="Times New Arabic" w:cs="Times New Roman"/>
          <w:kern w:val="2"/>
          <w:sz w:val="24"/>
          <w:szCs w:val="24"/>
          <w:lang w:val="nb-NO" w:eastAsia="en-US"/>
          <w14:ligatures w14:val="standardContextual"/>
        </w:rPr>
        <w:t xml:space="preserve"> dan </w:t>
      </w:r>
      <w:r w:rsidRPr="00FA3885">
        <w:rPr>
          <w:rFonts w:ascii="Times New Arabic" w:hAnsi="Times New Arabic" w:cs="Times New Roman"/>
          <w:i/>
          <w:iCs/>
          <w:kern w:val="2"/>
          <w:sz w:val="24"/>
          <w:szCs w:val="24"/>
          <w:lang w:val="nb-NO" w:eastAsia="en-US"/>
          <w14:ligatures w14:val="standardContextual"/>
        </w:rPr>
        <w:t>ghirah diniyah</w:t>
      </w:r>
      <w:r w:rsidRPr="00FA3885">
        <w:rPr>
          <w:rFonts w:ascii="Times New Arabic" w:hAnsi="Times New Arabic" w:cs="Times New Roman"/>
          <w:kern w:val="2"/>
          <w:sz w:val="24"/>
          <w:szCs w:val="24"/>
          <w:lang w:val="nb-NO" w:eastAsia="en-US"/>
          <w14:ligatures w14:val="standardContextual"/>
        </w:rPr>
        <w:t xml:space="preserve"> menjadi bukti bahwa umat Islam di Indonesia masih bergulat untuk menyeimbangkan toleransi dan keimanan dalam ruang publik multikultural.</w:t>
      </w:r>
    </w:p>
    <w:p w14:paraId="5F59342D" w14:textId="77777777" w:rsidR="003734C5" w:rsidRPr="00FA3885" w:rsidRDefault="003734C5" w:rsidP="003734C5">
      <w:pPr>
        <w:spacing w:after="0"/>
        <w:ind w:firstLine="709"/>
        <w:jc w:val="both"/>
        <w:rPr>
          <w:rFonts w:ascii="Times New Arabic" w:hAnsi="Times New Arabic" w:cs="Times New Roman"/>
          <w:kern w:val="2"/>
          <w:sz w:val="24"/>
          <w:szCs w:val="24"/>
          <w:lang w:val="nb-NO" w:eastAsia="en-US"/>
          <w14:ligatures w14:val="standardContextual"/>
        </w:rPr>
      </w:pPr>
    </w:p>
    <w:p w14:paraId="2DD8C250" w14:textId="77777777" w:rsidR="00FA3885" w:rsidRPr="00FA3885" w:rsidRDefault="00FA3885" w:rsidP="003734C5">
      <w:pPr>
        <w:pStyle w:val="DaftarParagraf"/>
        <w:numPr>
          <w:ilvl w:val="0"/>
          <w:numId w:val="43"/>
        </w:numPr>
        <w:spacing w:after="0"/>
        <w:ind w:left="284" w:hanging="284"/>
        <w:jc w:val="both"/>
        <w:rPr>
          <w:rFonts w:ascii="Times New Arabic" w:hAnsi="Times New Arabic"/>
          <w:b/>
          <w:bCs/>
          <w:kern w:val="2"/>
          <w:sz w:val="24"/>
          <w:szCs w:val="24"/>
          <w:lang w:val="nb-NO" w:eastAsia="en-US"/>
          <w14:ligatures w14:val="standardContextual"/>
        </w:rPr>
      </w:pPr>
      <w:r w:rsidRPr="00FA3885">
        <w:rPr>
          <w:rFonts w:ascii="Times New Arabic" w:hAnsi="Times New Arabic"/>
          <w:b/>
          <w:bCs/>
          <w:kern w:val="2"/>
          <w:sz w:val="24"/>
          <w:szCs w:val="24"/>
          <w:lang w:val="nb-NO" w:eastAsia="en-US"/>
          <w14:ligatures w14:val="standardContextual"/>
        </w:rPr>
        <w:t>Alternatif Pendekatan Moderasi Beragama dan Peran Institusi dalam Mediasi Budaya</w:t>
      </w:r>
    </w:p>
    <w:p w14:paraId="6FA34656"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Hasil wawancara mengungkap narasi baru yang berkembang di kalangan masyarakat Muslim Bagansiapiapi terkait relasi dengan tradisi non-Islam, khususnya Bakar Tongkang. Salah satu narasi dominan adalah “menghargai tidak harus menghadiri.” Frasa ini menjadi ekspresi dari upaya masyarakat untuk tetap menjunjung tinggi toleransi antarumat beragama tanpa mengaburkan batas akidah Islam. Responden menyatakan bahwa bentuk penghargaan terhadap tradisi umat lain dapat dilakukan dengan tidak </w:t>
      </w:r>
      <w:r w:rsidRPr="00FA3885">
        <w:rPr>
          <w:rFonts w:ascii="Times New Arabic" w:hAnsi="Times New Arabic" w:cs="Times New Roman"/>
          <w:kern w:val="2"/>
          <w:sz w:val="24"/>
          <w:szCs w:val="24"/>
          <w:lang w:val="nb-NO" w:eastAsia="en-US"/>
          <w14:ligatures w14:val="standardContextual"/>
        </w:rPr>
        <w:lastRenderedPageBreak/>
        <w:t>mengganggu jalannya perayaan, tanpa harus hadir secara fisik, apalagi berpartisipasi dalam ritual.</w:t>
      </w:r>
    </w:p>
    <w:p w14:paraId="65CE31D3"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Sebagai solusi, banyak responden mendorong adanya peran aktif institusi dalam membangun kesadaran akan batas toleransi dan akidah melalui program mediasi budaya dan dialog lintas agama. Mereka mengusulkan agar Majelis Ulama Indonesia (MUI), Kementerian Agama, pemerintah daerah, dan tokoh masyarakat bersinergi dalam membangun ruang edukasi yang inklusif tetapi tetap berpijak pada prinsip keislaman. Edukasi publik dianggap penting untuk menegaskan batas antara penghargaan sosial dan kompromi teologis, serta memperkuat pemahaman masyarakat tentang pentingnya menjaga identitas akidah dalam konteks hidup berdampingan.</w:t>
      </w:r>
    </w:p>
    <w:p w14:paraId="325A4ABD"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Pendekatan moderasi beragama (wasathiyah) merupakan prinsip sentral dalam Islam yang menekankan keseimbangan antara ghirah keimanan dan keterbukaan terhadap keberagaman. Hasyim dan Junaidi menekankan bahwa moderasi adalah jalan tengah yang bertujuan untuk meredam ekstremisme dan memperkuat kohesi sosial.</w:t>
      </w:r>
      <w:r w:rsidRPr="00FA3885">
        <w:rPr>
          <w:rFonts w:ascii="Times New Arabic" w:hAnsi="Times New Arabic" w:cs="Times New Roman"/>
          <w:kern w:val="2"/>
          <w:sz w:val="24"/>
          <w:szCs w:val="24"/>
          <w:vertAlign w:val="superscript"/>
          <w:lang w:val="nb-NO" w:eastAsia="en-US"/>
          <w14:ligatures w14:val="standardContextual"/>
        </w:rPr>
        <w:footnoteReference w:id="33"/>
      </w:r>
      <w:r w:rsidRPr="00FA3885">
        <w:rPr>
          <w:rFonts w:ascii="Times New Arabic" w:hAnsi="Times New Arabic" w:cs="Times New Roman"/>
          <w:kern w:val="2"/>
          <w:sz w:val="24"/>
          <w:szCs w:val="24"/>
          <w:lang w:val="nb-NO" w:eastAsia="en-US"/>
          <w14:ligatures w14:val="standardContextual"/>
        </w:rPr>
        <w:t xml:space="preserve"> Hal ini didukung oleh Najmi, yang menyebut bahwa pendidikan Islam yang inklusif dapat menjadi jembatan naratif antara doktrin keimanan dan realitas sosial multikultural.</w:t>
      </w:r>
      <w:r w:rsidRPr="00FA3885">
        <w:rPr>
          <w:rFonts w:ascii="Times New Arabic" w:hAnsi="Times New Arabic" w:cs="Times New Roman"/>
          <w:kern w:val="2"/>
          <w:sz w:val="24"/>
          <w:szCs w:val="24"/>
          <w:vertAlign w:val="superscript"/>
          <w:lang w:val="nb-NO" w:eastAsia="en-US"/>
          <w14:ligatures w14:val="standardContextual"/>
        </w:rPr>
        <w:footnoteReference w:id="34"/>
      </w:r>
      <w:r w:rsidRPr="00FA3885">
        <w:rPr>
          <w:rFonts w:ascii="Times New Arabic" w:hAnsi="Times New Arabic" w:cs="Times New Roman"/>
          <w:kern w:val="2"/>
          <w:sz w:val="24"/>
          <w:szCs w:val="24"/>
          <w:lang w:val="nb-NO" w:eastAsia="en-US"/>
          <w14:ligatures w14:val="standardContextual"/>
        </w:rPr>
        <w:t xml:space="preserve"> Dalam konteks ini, pesan “menghargai tanpa hadir” menjadi ekspresi praksis moderasi yang menghindari konflik simbolik sambil menjaga akidah.</w:t>
      </w:r>
    </w:p>
    <w:p w14:paraId="4CF1FB64"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Institusi Islam memiliki peran strategis dalam menginternalisasi nilai moderasi ini ke dalam struktur sosial. Setiadi dan Husna menekankan bahwa sekolah, masjid, dan forum keagamaan harus menjadi garda terdepan dalam membentuk pemahaman keagamaan yang kontekstual dan damai. Institusi tersebut bukan hanya sebagai penyampai fatwa, tetapi juga agen transformasi budaya yang mampu menjembatani umat dengan masyarakat plural.</w:t>
      </w:r>
      <w:r w:rsidRPr="00FA3885">
        <w:rPr>
          <w:rFonts w:ascii="Times New Arabic" w:hAnsi="Times New Arabic" w:cs="Times New Roman"/>
          <w:kern w:val="2"/>
          <w:sz w:val="24"/>
          <w:szCs w:val="24"/>
          <w:vertAlign w:val="superscript"/>
          <w:lang w:val="nb-NO" w:eastAsia="en-US"/>
          <w14:ligatures w14:val="standardContextual"/>
        </w:rPr>
        <w:footnoteReference w:id="35"/>
      </w:r>
      <w:r w:rsidRPr="00FA3885">
        <w:rPr>
          <w:rFonts w:ascii="Times New Arabic" w:hAnsi="Times New Arabic" w:cs="Times New Roman"/>
          <w:kern w:val="2"/>
          <w:sz w:val="24"/>
          <w:szCs w:val="24"/>
          <w:lang w:val="nb-NO" w:eastAsia="en-US"/>
          <w14:ligatures w14:val="standardContextual"/>
        </w:rPr>
        <w:t xml:space="preserve"> Dalam praktiknya, mereka dapat menyelenggarakan forum dialog antariman, seminar edukatif, serta kampanye literasi toleransi yang tidak bersifat apologetik, tetapi bersandar pada maqashid syariah.</w:t>
      </w:r>
    </w:p>
    <w:p w14:paraId="7A461726"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Studi banding pendekatan moderasi di tingkat global juga menunjukkan pola serupa. Di Yordania, misalnya, program “A Common Word” mendorong kerja sama antaragama dengan berbasis nilai kasih dan persaudaraan. Sementara itu, lembaga-lembaga seperti Nahdlatul Ulama melalui program di Geneva telah menjadi pelopor dalam mempromosikan fiqh lintas budaya di forum global. Pendekatan ini sejalan dengan Evimalinda et al. (2023) yang menekankan pentingnya mediasi budaya sebagai mekanisme menjembatani perbedaan keyakinan melalui pendekatan humanistik dan partisipatif.</w:t>
      </w:r>
    </w:p>
    <w:p w14:paraId="6DF2F541" w14:textId="77777777"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 xml:space="preserve">Studi ini menunjukkan bahwa pendekatan moderasi beragama dapat menjadi solusi konseptual dan praksis dalam menjawab ketegangan antara identitas keagamaan dan realitas multikultural. Narasi “menghargai tidak harus menghadiri” mencerminkan upaya masyarakat Muslim untuk membangun garis batas antara sikap sosial yang inklusif dan komitmen teologis yang eksklusif. Hal ini mempertegas pentingnya pembedaan antara </w:t>
      </w:r>
      <w:r w:rsidRPr="00FA3885">
        <w:rPr>
          <w:rFonts w:ascii="Times New Arabic" w:hAnsi="Times New Arabic" w:cs="Times New Roman"/>
          <w:kern w:val="2"/>
          <w:sz w:val="24"/>
          <w:szCs w:val="24"/>
          <w:lang w:val="nb-NO" w:eastAsia="en-US"/>
          <w14:ligatures w14:val="standardContextual"/>
        </w:rPr>
        <w:lastRenderedPageBreak/>
        <w:t>ruang publik multikultural dengan batas privat akidah yang tidak boleh dikompromikan. Pendekatan ini selaras dengan hasil sebulumnya yang menunjukkan perlunya posisi strategis dan jelas dari umat Islam dalam partisipasi simbolik terhadap tradisi lintas agama.</w:t>
      </w:r>
    </w:p>
    <w:p w14:paraId="1CB7A08C" w14:textId="77777777" w:rsid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Secara ilmiah, studi ini memberikan kontribusi penting terhadap literatur moderasi beragama dan hubungan antaragama di Indonesia. Dengan mengintegrasikan hasil lapangan dan tinjauan literatur global, penelitian ini memperkuat argumen bahwa moderasi bukan berarti relativisme, melainkan upaya untuk menjaga prinsip dengan cara yang bijak, kontekstual, dan toleran. Ini membuka ruang untuk kajian-kajian lanjut mengenai peran institusi dalam memperkuat jati diri Muslim di tengah pluralitas. Secara praktis, rekomendasi kebijakan yang muncul antara lain adalah: (1) perlunya fatwa atau pedoman kultural dari MUI yang mempertegas posisi kehadiran simbolik dalam tradisi non-Islam; (2) pembentukan forum mediasi lintas agama oleh Kementerian Agama dan Pemda; (3) integrasi pendidikan toleransi berbasis maqashid di sekolah dan madrasah; serta (4) pelibatan tokoh masyarakat dalam memperkuat narasi moderasi dalam khutbah, dakwah, dan ruang publik lainnya. Dengan langkah ini, umat Islam tidak hanya dapat menjaga akidahnya, tetapi juga menjadi agen harmoni dalam masyarakat Indonesia yang majemuk.</w:t>
      </w:r>
    </w:p>
    <w:p w14:paraId="635A539E" w14:textId="77777777" w:rsidR="003734C5" w:rsidRPr="00FA3885" w:rsidRDefault="003734C5" w:rsidP="00FA3885">
      <w:pPr>
        <w:spacing w:after="0"/>
        <w:ind w:firstLine="720"/>
        <w:jc w:val="both"/>
        <w:rPr>
          <w:rFonts w:ascii="Times New Arabic" w:hAnsi="Times New Arabic" w:cs="Times New Roman"/>
          <w:kern w:val="2"/>
          <w:sz w:val="24"/>
          <w:szCs w:val="24"/>
          <w:lang w:val="nb-NO" w:eastAsia="en-US"/>
          <w14:ligatures w14:val="standardContextual"/>
        </w:rPr>
      </w:pPr>
    </w:p>
    <w:p w14:paraId="4B96DDEB" w14:textId="77777777" w:rsidR="00FA3885" w:rsidRPr="00FA3885" w:rsidRDefault="00FA3885" w:rsidP="00FA3885">
      <w:pPr>
        <w:spacing w:after="0"/>
        <w:jc w:val="both"/>
        <w:rPr>
          <w:rFonts w:ascii="Times New Arabic" w:hAnsi="Times New Arabic" w:cs="Times New Roman"/>
          <w:b/>
          <w:bCs/>
          <w:kern w:val="2"/>
          <w:sz w:val="24"/>
          <w:szCs w:val="24"/>
          <w:lang w:val="nb-NO" w:eastAsia="en-US"/>
          <w14:ligatures w14:val="standardContextual"/>
        </w:rPr>
      </w:pPr>
      <w:r w:rsidRPr="00FA3885">
        <w:rPr>
          <w:rFonts w:ascii="Times New Arabic" w:hAnsi="Times New Arabic" w:cs="Times New Roman"/>
          <w:b/>
          <w:bCs/>
          <w:kern w:val="2"/>
          <w:sz w:val="24"/>
          <w:szCs w:val="24"/>
          <w:lang w:val="nb-NO" w:eastAsia="en-US"/>
          <w14:ligatures w14:val="standardContextual"/>
        </w:rPr>
        <w:t>Kesimpulan</w:t>
      </w:r>
    </w:p>
    <w:p w14:paraId="68359D87" w14:textId="47671139" w:rsidR="00FA3885" w:rsidRPr="00FA3885" w:rsidRDefault="00FA3885" w:rsidP="00FA3885">
      <w:pPr>
        <w:spacing w:after="0"/>
        <w:ind w:firstLine="720"/>
        <w:jc w:val="both"/>
        <w:rPr>
          <w:rFonts w:ascii="Times New Arabic" w:hAnsi="Times New Arabic" w:cs="Times New Roman"/>
          <w:kern w:val="2"/>
          <w:sz w:val="24"/>
          <w:szCs w:val="24"/>
          <w:lang w:val="nb-NO" w:eastAsia="en-US"/>
          <w14:ligatures w14:val="standardContextual"/>
        </w:rPr>
      </w:pPr>
      <w:r w:rsidRPr="00FA3885">
        <w:rPr>
          <w:rFonts w:ascii="Times New Arabic" w:hAnsi="Times New Arabic" w:cs="Times New Roman"/>
          <w:kern w:val="2"/>
          <w:sz w:val="24"/>
          <w:szCs w:val="24"/>
          <w:lang w:val="nb-NO" w:eastAsia="en-US"/>
          <w14:ligatures w14:val="standardContextual"/>
        </w:rPr>
        <w:t>Penelitian ini menunjukkan bahwa kehadiran umat Islam dalam perayaan Bakar Tongkang di Bagansiapiapi memunculkan respons yang beragam di kalangan tokoh agama dan masyarakat. MUI Rohil menegaskan larangan bagi Muslim untuk menjadi “pemain” atau terlibat dalam inti ritual, namun membolehkan hadir sebagai “penonton” dengan tujuan menjaga akidah sekaligus membina kerukunan. Kemenag menempatkan diri pada ranah sosial-budaya dengan menekankan pentingnya moderasi beragama dan harmoni sosial, sedangkan tokoh agama lokal mengedepankan sikap menghormati tanpa mengikuti ritual agama lain.</w:t>
      </w:r>
      <w:r>
        <w:rPr>
          <w:rFonts w:ascii="Times New Arabic" w:hAnsi="Times New Arabic" w:cs="Times New Roman"/>
          <w:kern w:val="2"/>
          <w:sz w:val="24"/>
          <w:szCs w:val="24"/>
          <w:lang w:val="nb-NO" w:eastAsia="en-US"/>
          <w14:ligatures w14:val="standardContextual"/>
        </w:rPr>
        <w:t xml:space="preserve"> </w:t>
      </w:r>
      <w:r w:rsidRPr="00FA3885">
        <w:rPr>
          <w:rFonts w:ascii="Times New Arabic" w:hAnsi="Times New Arabic" w:cs="Times New Roman"/>
          <w:kern w:val="2"/>
          <w:sz w:val="24"/>
          <w:szCs w:val="24"/>
          <w:lang w:val="nb-NO" w:eastAsia="en-US"/>
          <w14:ligatures w14:val="standardContextual"/>
        </w:rPr>
        <w:t xml:space="preserve">Dari perspektif sosial-teologis, temuan ini mengungkap adanya ketegangan antara </w:t>
      </w:r>
      <w:r w:rsidRPr="00FA3885">
        <w:rPr>
          <w:rFonts w:ascii="Times New Arabic" w:hAnsi="Times New Arabic" w:cs="Times New Roman"/>
          <w:i/>
          <w:iCs/>
          <w:kern w:val="2"/>
          <w:sz w:val="24"/>
          <w:szCs w:val="24"/>
          <w:lang w:val="nb-NO" w:eastAsia="en-US"/>
          <w14:ligatures w14:val="standardContextual"/>
        </w:rPr>
        <w:t>ukhuwah insaniyah</w:t>
      </w:r>
      <w:r w:rsidRPr="00FA3885">
        <w:rPr>
          <w:rFonts w:ascii="Times New Arabic" w:hAnsi="Times New Arabic" w:cs="Times New Roman"/>
          <w:kern w:val="2"/>
          <w:sz w:val="24"/>
          <w:szCs w:val="24"/>
          <w:lang w:val="nb-NO" w:eastAsia="en-US"/>
          <w14:ligatures w14:val="standardContextual"/>
        </w:rPr>
        <w:t xml:space="preserve"> dan </w:t>
      </w:r>
      <w:r w:rsidRPr="00FA3885">
        <w:rPr>
          <w:rFonts w:ascii="Times New Arabic" w:hAnsi="Times New Arabic" w:cs="Times New Roman"/>
          <w:i/>
          <w:iCs/>
          <w:kern w:val="2"/>
          <w:sz w:val="24"/>
          <w:szCs w:val="24"/>
          <w:lang w:val="nb-NO" w:eastAsia="en-US"/>
          <w14:ligatures w14:val="standardContextual"/>
        </w:rPr>
        <w:t>ghirah diniyah</w:t>
      </w:r>
      <w:r w:rsidRPr="00FA3885">
        <w:rPr>
          <w:rFonts w:ascii="Times New Arabic" w:hAnsi="Times New Arabic" w:cs="Times New Roman"/>
          <w:kern w:val="2"/>
          <w:sz w:val="24"/>
          <w:szCs w:val="24"/>
          <w:lang w:val="nb-NO" w:eastAsia="en-US"/>
          <w14:ligatures w14:val="standardContextual"/>
        </w:rPr>
        <w:t>. Kehadiran Muslim, bahkan sebagai penonton, berpotensi menimbulkan persepsi normalisasi praktik sinkretis jika tidak disertai penjelasan dan batasan yang jelas. Namun, dengan pendekatan moderasi beragama dan peran strategis institusi seperti MUI, Kemenag, dan tokoh masyarakat, batas toleransi dapat dikelola secara tepat melalui edukasi, dialog lintas agama, dan penguatan literasi keagamaan.</w:t>
      </w:r>
      <w:r>
        <w:rPr>
          <w:rFonts w:ascii="Times New Arabic" w:hAnsi="Times New Arabic" w:cs="Times New Roman"/>
          <w:kern w:val="2"/>
          <w:sz w:val="24"/>
          <w:szCs w:val="24"/>
          <w:lang w:val="nb-NO" w:eastAsia="en-US"/>
          <w14:ligatures w14:val="standardContextual"/>
        </w:rPr>
        <w:t xml:space="preserve"> </w:t>
      </w:r>
      <w:r w:rsidRPr="00FA3885">
        <w:rPr>
          <w:rFonts w:ascii="Times New Arabic" w:hAnsi="Times New Arabic" w:cs="Times New Roman"/>
          <w:kern w:val="2"/>
          <w:sz w:val="24"/>
          <w:szCs w:val="24"/>
          <w:lang w:val="nb-NO" w:eastAsia="en-US"/>
          <w14:ligatures w14:val="standardContextual"/>
        </w:rPr>
        <w:t xml:space="preserve">Secara praktis, penelitian ini menegaskan bahwa narasi “menghargai tidak harus menghadiri” dapat menjadi solusi konseptual dan aplikatif dalam menjaga identitas keislaman tanpa mengorbankan kerukunan sosial. Dengan penguatan peran institusi, pendidikan berbasis </w:t>
      </w:r>
      <w:r w:rsidRPr="00FA3885">
        <w:rPr>
          <w:rFonts w:ascii="Times New Arabic" w:hAnsi="Times New Arabic" w:cs="Times New Roman"/>
          <w:i/>
          <w:iCs/>
          <w:kern w:val="2"/>
          <w:sz w:val="24"/>
          <w:szCs w:val="24"/>
          <w:lang w:val="nb-NO" w:eastAsia="en-US"/>
          <w14:ligatures w14:val="standardContextual"/>
        </w:rPr>
        <w:t>maqashid syariah</w:t>
      </w:r>
      <w:r w:rsidRPr="00FA3885">
        <w:rPr>
          <w:rFonts w:ascii="Times New Arabic" w:hAnsi="Times New Arabic" w:cs="Times New Roman"/>
          <w:kern w:val="2"/>
          <w:sz w:val="24"/>
          <w:szCs w:val="24"/>
          <w:lang w:val="nb-NO" w:eastAsia="en-US"/>
          <w14:ligatures w14:val="standardContextual"/>
        </w:rPr>
        <w:t>, serta mediasi budaya yang inklusif, umat Islam di Indonesia diharapkan mampu menjadi agen harmoni yang teguh dalam iman namun adaptif terhadap realitas multikultural bangsa.</w:t>
      </w:r>
    </w:p>
    <w:p w14:paraId="6BE93987" w14:textId="77777777" w:rsidR="00FA3885" w:rsidRPr="00FA3885" w:rsidRDefault="00FA3885" w:rsidP="00FA3885">
      <w:pPr>
        <w:spacing w:after="0"/>
        <w:jc w:val="both"/>
        <w:rPr>
          <w:rFonts w:ascii="Times New Arabic" w:hAnsi="Times New Arabic" w:cs="Times New Roman"/>
          <w:b/>
          <w:bCs/>
          <w:kern w:val="2"/>
          <w:sz w:val="24"/>
          <w:szCs w:val="24"/>
          <w:lang w:val="nb-NO" w:eastAsia="en-US"/>
          <w14:ligatures w14:val="standardContextual"/>
        </w:rPr>
      </w:pPr>
    </w:p>
    <w:p w14:paraId="6D50E90D" w14:textId="77777777" w:rsidR="00FA3885" w:rsidRPr="00FA3885" w:rsidRDefault="00FA3885" w:rsidP="00FA3885">
      <w:pPr>
        <w:spacing w:after="0"/>
        <w:jc w:val="both"/>
        <w:rPr>
          <w:rFonts w:ascii="Times New Arabic" w:hAnsi="Times New Arabic" w:cs="Times New Roman"/>
          <w:b/>
          <w:bCs/>
          <w:kern w:val="2"/>
          <w:sz w:val="24"/>
          <w:szCs w:val="24"/>
          <w:lang w:val="nb-NO" w:eastAsia="en-US"/>
          <w14:ligatures w14:val="standardContextual"/>
        </w:rPr>
      </w:pPr>
      <w:r w:rsidRPr="00FA3885">
        <w:rPr>
          <w:rFonts w:ascii="Times New Arabic" w:hAnsi="Times New Arabic" w:cs="Times New Roman"/>
          <w:b/>
          <w:bCs/>
          <w:kern w:val="2"/>
          <w:sz w:val="24"/>
          <w:szCs w:val="24"/>
          <w:lang w:val="nb-NO" w:eastAsia="en-US"/>
          <w14:ligatures w14:val="standardContextual"/>
        </w:rPr>
        <w:t>Referensi</w:t>
      </w:r>
    </w:p>
    <w:p w14:paraId="54097F0C"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Afriani, A., Najmia, A., &amp; Mauila, N. (2023). Toleransi beragama dalam perspektif al-quran. Basha Ir Jurnal Studi Al-Qur an Dan Tafsir, 75-82. https://doi.org/10.47498/bashair.v2i2.892</w:t>
      </w:r>
    </w:p>
    <w:p w14:paraId="0B5BDBC9"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r w:rsidRPr="00FA3885">
        <w:rPr>
          <w:rFonts w:ascii="Times New Arabic" w:hAnsi="Times New Arabic" w:cs="Times New Roman"/>
          <w:color w:val="000000" w:themeColor="text1"/>
          <w:kern w:val="2"/>
          <w:sz w:val="24"/>
          <w:szCs w:val="24"/>
          <w:lang w:val="en-ID" w:eastAsia="en-US"/>
          <w14:ligatures w14:val="standardContextual"/>
        </w:rPr>
        <w:lastRenderedPageBreak/>
        <w:t>Al-</w:t>
      </w:r>
      <w:proofErr w:type="spellStart"/>
      <w:r w:rsidRPr="00FA3885">
        <w:rPr>
          <w:rFonts w:ascii="Times New Arabic" w:hAnsi="Times New Arabic" w:cs="Times New Roman"/>
          <w:color w:val="000000" w:themeColor="text1"/>
          <w:kern w:val="2"/>
          <w:sz w:val="24"/>
          <w:szCs w:val="24"/>
          <w:lang w:val="en-ID" w:eastAsia="en-US"/>
          <w14:ligatures w14:val="standardContextual"/>
        </w:rPr>
        <w:t>Asy’ari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M., Wicaksono, S., &amp; </w:t>
      </w:r>
      <w:proofErr w:type="spellStart"/>
      <w:r w:rsidRPr="00FA3885">
        <w:rPr>
          <w:rFonts w:ascii="Times New Arabic" w:hAnsi="Times New Arabic" w:cs="Times New Roman"/>
          <w:color w:val="000000" w:themeColor="text1"/>
          <w:kern w:val="2"/>
          <w:sz w:val="24"/>
          <w:szCs w:val="24"/>
          <w:lang w:val="en-ID" w:eastAsia="en-US"/>
          <w14:ligatures w14:val="standardContextual"/>
        </w:rPr>
        <w:t>Rambe</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M. (2024). Recontextualizing </w:t>
      </w:r>
      <w:proofErr w:type="spellStart"/>
      <w:r w:rsidRPr="00FA3885">
        <w:rPr>
          <w:rFonts w:ascii="Times New Arabic" w:hAnsi="Times New Arabic" w:cs="Times New Roman"/>
          <w:color w:val="000000" w:themeColor="text1"/>
          <w:kern w:val="2"/>
          <w:sz w:val="24"/>
          <w:szCs w:val="24"/>
          <w:lang w:val="en-ID" w:eastAsia="en-US"/>
          <w14:ligatures w14:val="standardContextual"/>
        </w:rPr>
        <w:t>fiqh</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fiqh</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in business ethics construction for sustainable economy in </w:t>
      </w:r>
      <w:proofErr w:type="spellStart"/>
      <w:r w:rsidRPr="00FA3885">
        <w:rPr>
          <w:rFonts w:ascii="Times New Arabic" w:hAnsi="Times New Arabic" w:cs="Times New Roman"/>
          <w:color w:val="000000" w:themeColor="text1"/>
          <w:kern w:val="2"/>
          <w:sz w:val="24"/>
          <w:szCs w:val="24"/>
          <w:lang w:val="en-ID" w:eastAsia="en-US"/>
          <w14:ligatures w14:val="standardContextual"/>
        </w:rPr>
        <w:t>attanwir</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boarding school. At-</w:t>
      </w:r>
      <w:proofErr w:type="spellStart"/>
      <w:r w:rsidRPr="00FA3885">
        <w:rPr>
          <w:rFonts w:ascii="Times New Arabic" w:hAnsi="Times New Arabic" w:cs="Times New Roman"/>
          <w:color w:val="000000" w:themeColor="text1"/>
          <w:kern w:val="2"/>
          <w:sz w:val="24"/>
          <w:szCs w:val="24"/>
          <w:lang w:val="en-ID" w:eastAsia="en-US"/>
          <w14:ligatures w14:val="standardContextual"/>
        </w:rPr>
        <w:t>Tasyri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Jurnal</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Ilmiah</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Prodi Muamalah, 16(1), 41-56. https://doi.org/10.47498/tasyri.v16i1.2298</w:t>
      </w:r>
    </w:p>
    <w:p w14:paraId="5E0B5B20"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r w:rsidRPr="00FA3885">
        <w:rPr>
          <w:rFonts w:ascii="Times New Arabic" w:hAnsi="Times New Arabic" w:cs="Times New Roman"/>
          <w:color w:val="000000" w:themeColor="text1"/>
          <w:kern w:val="2"/>
          <w:sz w:val="24"/>
          <w:szCs w:val="24"/>
          <w:lang w:val="en-ID" w:eastAsia="en-US"/>
          <w14:ligatures w14:val="standardContextual"/>
        </w:rPr>
        <w:t xml:space="preserve">Angela, S. and </w:t>
      </w:r>
      <w:proofErr w:type="spellStart"/>
      <w:r w:rsidRPr="00FA3885">
        <w:rPr>
          <w:rFonts w:ascii="Times New Arabic" w:hAnsi="Times New Arabic" w:cs="Times New Roman"/>
          <w:color w:val="000000" w:themeColor="text1"/>
          <w:kern w:val="2"/>
          <w:sz w:val="24"/>
          <w:szCs w:val="24"/>
          <w:lang w:val="en-ID" w:eastAsia="en-US"/>
          <w14:ligatures w14:val="standardContextual"/>
        </w:rPr>
        <w:t>Prasetyo</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E. (2024). </w:t>
      </w:r>
      <w:r w:rsidRPr="00FA3885">
        <w:rPr>
          <w:rFonts w:ascii="Times New Arabic" w:hAnsi="Times New Arabic" w:cs="Times New Roman"/>
          <w:color w:val="000000" w:themeColor="text1"/>
          <w:kern w:val="2"/>
          <w:sz w:val="24"/>
          <w:szCs w:val="24"/>
          <w:lang w:val="sv-SE" w:eastAsia="en-US"/>
          <w14:ligatures w14:val="standardContextual"/>
        </w:rPr>
        <w:t xml:space="preserve">Ritual bakar </w:t>
      </w:r>
      <w:proofErr w:type="spellStart"/>
      <w:r w:rsidRPr="00FA3885">
        <w:rPr>
          <w:rFonts w:ascii="Times New Arabic" w:hAnsi="Times New Arabic" w:cs="Times New Roman"/>
          <w:color w:val="000000" w:themeColor="text1"/>
          <w:kern w:val="2"/>
          <w:sz w:val="24"/>
          <w:szCs w:val="24"/>
          <w:lang w:val="sv-SE" w:eastAsia="en-US"/>
          <w14:ligatures w14:val="standardContextual"/>
        </w:rPr>
        <w:t>tongkang</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masyarakat</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tionghoa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di </w:t>
      </w:r>
      <w:proofErr w:type="spellStart"/>
      <w:r w:rsidRPr="00FA3885">
        <w:rPr>
          <w:rFonts w:ascii="Times New Arabic" w:hAnsi="Times New Arabic" w:cs="Times New Roman"/>
          <w:color w:val="000000" w:themeColor="text1"/>
          <w:kern w:val="2"/>
          <w:sz w:val="24"/>
          <w:szCs w:val="24"/>
          <w:lang w:val="sv-SE" w:eastAsia="en-US"/>
          <w14:ligatures w14:val="standardContextual"/>
        </w:rPr>
        <w:t>bagansiapiapi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r w:rsidRPr="00FA3885">
        <w:rPr>
          <w:rFonts w:ascii="Times New Arabic" w:hAnsi="Times New Arabic" w:cs="Times New Roman"/>
          <w:color w:val="000000" w:themeColor="text1"/>
          <w:kern w:val="2"/>
          <w:sz w:val="24"/>
          <w:szCs w:val="24"/>
          <w:lang w:val="en-ID" w:eastAsia="en-US"/>
          <w14:ligatures w14:val="standardContextual"/>
        </w:rPr>
        <w:t xml:space="preserve">Journal of Education Religion Humanities and </w:t>
      </w:r>
      <w:proofErr w:type="spellStart"/>
      <w:r w:rsidRPr="00FA3885">
        <w:rPr>
          <w:rFonts w:ascii="Times New Arabic" w:hAnsi="Times New Arabic" w:cs="Times New Roman"/>
          <w:color w:val="000000" w:themeColor="text1"/>
          <w:kern w:val="2"/>
          <w:sz w:val="24"/>
          <w:szCs w:val="24"/>
          <w:lang w:val="en-ID" w:eastAsia="en-US"/>
          <w14:ligatures w14:val="standardContextual"/>
        </w:rPr>
        <w:t>Multidiciplinary</w:t>
      </w:r>
      <w:proofErr w:type="spellEnd"/>
      <w:r w:rsidRPr="00FA3885">
        <w:rPr>
          <w:rFonts w:ascii="Times New Arabic" w:hAnsi="Times New Arabic" w:cs="Times New Roman"/>
          <w:color w:val="000000" w:themeColor="text1"/>
          <w:kern w:val="2"/>
          <w:sz w:val="24"/>
          <w:szCs w:val="24"/>
          <w:lang w:val="en-ID" w:eastAsia="en-US"/>
          <w14:ligatures w14:val="standardContextual"/>
        </w:rPr>
        <w:t>, 2(1), 191-198. https://doi.org/10.57235/jerumi.v2i1.1451</w:t>
      </w:r>
    </w:p>
    <w:p w14:paraId="74B3C1CC"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sv-SE" w:eastAsia="en-US"/>
          <w14:ligatures w14:val="standardContextual"/>
        </w:rPr>
      </w:pPr>
      <w:r w:rsidRPr="00FA3885">
        <w:rPr>
          <w:rFonts w:ascii="Times New Arabic" w:hAnsi="Times New Arabic" w:cs="Times New Roman"/>
          <w:color w:val="000000" w:themeColor="text1"/>
          <w:kern w:val="2"/>
          <w:sz w:val="24"/>
          <w:szCs w:val="24"/>
          <w:lang w:val="en-ID" w:eastAsia="en-US"/>
          <w14:ligatures w14:val="standardContextual"/>
        </w:rPr>
        <w:t xml:space="preserve">Effendi, Y. (2023). </w:t>
      </w:r>
      <w:proofErr w:type="spellStart"/>
      <w:r w:rsidRPr="00FA3885">
        <w:rPr>
          <w:rFonts w:ascii="Times New Arabic" w:hAnsi="Times New Arabic" w:cs="Times New Roman"/>
          <w:color w:val="000000" w:themeColor="text1"/>
          <w:kern w:val="2"/>
          <w:sz w:val="24"/>
          <w:szCs w:val="24"/>
          <w:lang w:val="en-ID" w:eastAsia="en-US"/>
          <w14:ligatures w14:val="standardContextual"/>
        </w:rPr>
        <w:t>Membangun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kehidupan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toleransi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beragama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dalam</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komunitas</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pelayanan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dialog </w:t>
      </w:r>
      <w:proofErr w:type="spellStart"/>
      <w:r w:rsidRPr="00FA3885">
        <w:rPr>
          <w:rFonts w:ascii="Times New Arabic" w:hAnsi="Times New Arabic" w:cs="Times New Roman"/>
          <w:color w:val="000000" w:themeColor="text1"/>
          <w:kern w:val="2"/>
          <w:sz w:val="24"/>
          <w:szCs w:val="24"/>
          <w:lang w:val="en-ID" w:eastAsia="en-US"/>
          <w14:ligatures w14:val="standardContextual"/>
        </w:rPr>
        <w:t>antaragama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st.</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ignasius</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loyola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dalam</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wilayah </w:t>
      </w:r>
      <w:proofErr w:type="spellStart"/>
      <w:r w:rsidRPr="00FA3885">
        <w:rPr>
          <w:rFonts w:ascii="Times New Arabic" w:hAnsi="Times New Arabic" w:cs="Times New Roman"/>
          <w:color w:val="000000" w:themeColor="text1"/>
          <w:kern w:val="2"/>
          <w:sz w:val="24"/>
          <w:szCs w:val="24"/>
          <w:lang w:val="en-ID" w:eastAsia="en-US"/>
          <w14:ligatures w14:val="standardContextual"/>
        </w:rPr>
        <w:t>paroki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kepanjen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malang</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Bakti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Budaya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6(2), </w:t>
      </w:r>
      <w:proofErr w:type="gramStart"/>
      <w:r w:rsidRPr="00FA3885">
        <w:rPr>
          <w:rFonts w:ascii="Times New Arabic" w:hAnsi="Times New Arabic" w:cs="Times New Roman"/>
          <w:color w:val="000000" w:themeColor="text1"/>
          <w:kern w:val="2"/>
          <w:sz w:val="24"/>
          <w:szCs w:val="24"/>
          <w:lang w:val="sv-SE" w:eastAsia="en-US"/>
          <w14:ligatures w14:val="standardContextual"/>
        </w:rPr>
        <w:t>134-139</w:t>
      </w:r>
      <w:proofErr w:type="gramEnd"/>
      <w:r w:rsidRPr="00FA3885">
        <w:rPr>
          <w:rFonts w:ascii="Times New Arabic" w:hAnsi="Times New Arabic" w:cs="Times New Roman"/>
          <w:color w:val="000000" w:themeColor="text1"/>
          <w:kern w:val="2"/>
          <w:sz w:val="24"/>
          <w:szCs w:val="24"/>
          <w:lang w:val="sv-SE" w:eastAsia="en-US"/>
          <w14:ligatures w14:val="standardContextual"/>
        </w:rPr>
        <w:t>. https://doi.org/10.22146/bakti.6337</w:t>
      </w:r>
    </w:p>
    <w:p w14:paraId="2F1EB3E2"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proofErr w:type="spellStart"/>
      <w:r w:rsidRPr="00FA3885">
        <w:rPr>
          <w:rFonts w:ascii="Times New Arabic" w:hAnsi="Times New Arabic" w:cs="Times New Roman"/>
          <w:color w:val="000000" w:themeColor="text1"/>
          <w:kern w:val="2"/>
          <w:sz w:val="24"/>
          <w:szCs w:val="24"/>
          <w:lang w:val="sv-SE" w:eastAsia="en-US"/>
          <w14:ligatures w14:val="standardContextual"/>
        </w:rPr>
        <w:t>Evimalinda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R., </w:t>
      </w:r>
      <w:proofErr w:type="spellStart"/>
      <w:r w:rsidRPr="00FA3885">
        <w:rPr>
          <w:rFonts w:ascii="Times New Arabic" w:hAnsi="Times New Arabic" w:cs="Times New Roman"/>
          <w:color w:val="000000" w:themeColor="text1"/>
          <w:kern w:val="2"/>
          <w:sz w:val="24"/>
          <w:szCs w:val="24"/>
          <w:lang w:val="sv-SE" w:eastAsia="en-US"/>
          <w14:ligatures w14:val="standardContextual"/>
        </w:rPr>
        <w:t>Butar-Butar</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R., </w:t>
      </w:r>
      <w:proofErr w:type="spellStart"/>
      <w:r w:rsidRPr="00FA3885">
        <w:rPr>
          <w:rFonts w:ascii="Times New Arabic" w:hAnsi="Times New Arabic" w:cs="Times New Roman"/>
          <w:color w:val="000000" w:themeColor="text1"/>
          <w:kern w:val="2"/>
          <w:sz w:val="24"/>
          <w:szCs w:val="24"/>
          <w:lang w:val="sv-SE" w:eastAsia="en-US"/>
          <w14:ligatures w14:val="standardContextual"/>
        </w:rPr>
        <w:t>Dongoran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E., </w:t>
      </w:r>
      <w:proofErr w:type="spellStart"/>
      <w:r w:rsidRPr="00FA3885">
        <w:rPr>
          <w:rFonts w:ascii="Times New Arabic" w:hAnsi="Times New Arabic" w:cs="Times New Roman"/>
          <w:color w:val="000000" w:themeColor="text1"/>
          <w:kern w:val="2"/>
          <w:sz w:val="24"/>
          <w:szCs w:val="24"/>
          <w:lang w:val="sv-SE" w:eastAsia="en-US"/>
          <w14:ligatures w14:val="standardContextual"/>
        </w:rPr>
        <w:t>Harahap</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H., </w:t>
      </w:r>
      <w:proofErr w:type="spellStart"/>
      <w:r w:rsidRPr="00FA3885">
        <w:rPr>
          <w:rFonts w:ascii="Times New Arabic" w:hAnsi="Times New Arabic" w:cs="Times New Roman"/>
          <w:color w:val="000000" w:themeColor="text1"/>
          <w:kern w:val="2"/>
          <w:sz w:val="24"/>
          <w:szCs w:val="24"/>
          <w:lang w:val="sv-SE" w:eastAsia="en-US"/>
          <w14:ligatures w14:val="standardContextual"/>
        </w:rPr>
        <w:t>Siregar</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V., </w:t>
      </w:r>
      <w:proofErr w:type="spellStart"/>
      <w:r w:rsidRPr="00FA3885">
        <w:rPr>
          <w:rFonts w:ascii="Times New Arabic" w:hAnsi="Times New Arabic" w:cs="Times New Roman"/>
          <w:color w:val="000000" w:themeColor="text1"/>
          <w:kern w:val="2"/>
          <w:sz w:val="24"/>
          <w:szCs w:val="24"/>
          <w:lang w:val="sv-SE" w:eastAsia="en-US"/>
          <w14:ligatures w14:val="standardContextual"/>
        </w:rPr>
        <w:t>Nababan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Y., … </w:t>
      </w:r>
      <w:r w:rsidRPr="00FA3885">
        <w:rPr>
          <w:rFonts w:ascii="Times New Arabic" w:hAnsi="Times New Arabic" w:cs="Times New Roman"/>
          <w:color w:val="000000" w:themeColor="text1"/>
          <w:kern w:val="2"/>
          <w:sz w:val="24"/>
          <w:szCs w:val="24"/>
          <w:lang w:val="en-ID" w:eastAsia="en-US"/>
          <w14:ligatures w14:val="standardContextual"/>
        </w:rPr>
        <w:t xml:space="preserve">&amp; </w:t>
      </w:r>
      <w:proofErr w:type="spellStart"/>
      <w:r w:rsidRPr="00FA3885">
        <w:rPr>
          <w:rFonts w:ascii="Times New Arabic" w:hAnsi="Times New Arabic" w:cs="Times New Roman"/>
          <w:color w:val="000000" w:themeColor="text1"/>
          <w:kern w:val="2"/>
          <w:sz w:val="24"/>
          <w:szCs w:val="24"/>
          <w:lang w:val="en-ID" w:eastAsia="en-US"/>
          <w14:ligatures w14:val="standardContextual"/>
        </w:rPr>
        <w:t>Pakpahan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V. (2023). Cultivating an attitude of religious moderation for students at </w:t>
      </w:r>
      <w:proofErr w:type="spellStart"/>
      <w:r w:rsidRPr="00FA3885">
        <w:rPr>
          <w:rFonts w:ascii="Times New Arabic" w:hAnsi="Times New Arabic" w:cs="Times New Roman"/>
          <w:color w:val="000000" w:themeColor="text1"/>
          <w:kern w:val="2"/>
          <w:sz w:val="24"/>
          <w:szCs w:val="24"/>
          <w:lang w:val="en-ID" w:eastAsia="en-US"/>
          <w14:ligatures w14:val="standardContextual"/>
        </w:rPr>
        <w:t>sd</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eppata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ii batu aji </w:t>
      </w:r>
      <w:proofErr w:type="spellStart"/>
      <w:r w:rsidRPr="00FA3885">
        <w:rPr>
          <w:rFonts w:ascii="Times New Arabic" w:hAnsi="Times New Arabic" w:cs="Times New Roman"/>
          <w:color w:val="000000" w:themeColor="text1"/>
          <w:kern w:val="2"/>
          <w:sz w:val="24"/>
          <w:szCs w:val="24"/>
          <w:lang w:val="en-ID" w:eastAsia="en-US"/>
          <w14:ligatures w14:val="standardContextual"/>
        </w:rPr>
        <w:t>batam</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r w:rsidRPr="00FA3885">
        <w:rPr>
          <w:rFonts w:ascii="Times New Arabic" w:hAnsi="Times New Arabic" w:cs="Times New Roman"/>
          <w:color w:val="000000" w:themeColor="text1"/>
          <w:kern w:val="2"/>
          <w:sz w:val="24"/>
          <w:szCs w:val="24"/>
          <w:lang w:val="nb-NO" w:eastAsia="en-US"/>
          <w14:ligatures w14:val="standardContextual"/>
        </w:rPr>
        <w:t>Gandrung Jurnal Pengabdian Kepada Masyarakat, 4(2), 1185-1194. https://doi.org/10.36526/gandrung.v4i2.2922</w:t>
      </w:r>
    </w:p>
    <w:p w14:paraId="47E7B9D8"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sv-SE"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 xml:space="preserve">Fadliah, I. (2022). Menyikapi perbedaan dalam islam sebagai wujud toleransi umat beragama. Jurnal Sosial Humaniora Sigli, 5(2), 222-231. </w:t>
      </w:r>
      <w:r w:rsidRPr="00FA3885">
        <w:rPr>
          <w:rFonts w:ascii="Times New Arabic" w:hAnsi="Times New Arabic"/>
          <w:color w:val="000000" w:themeColor="text1"/>
          <w:kern w:val="2"/>
          <w:lang w:val="en-ID" w:eastAsia="en-US"/>
          <w14:ligatures w14:val="standardContextual"/>
        </w:rPr>
        <w:fldChar w:fldCharType="begin"/>
      </w:r>
      <w:r w:rsidRPr="00FA3885">
        <w:rPr>
          <w:rFonts w:ascii="Times New Arabic" w:hAnsi="Times New Arabic"/>
          <w:color w:val="000000" w:themeColor="text1"/>
          <w:kern w:val="2"/>
          <w:lang w:val="nb-NO" w:eastAsia="en-US"/>
          <w14:ligatures w14:val="standardContextual"/>
        </w:rPr>
        <w:instrText>HYPERLINK "https://doi.org/10.47647/jsh.v5i2.928"</w:instrText>
      </w:r>
      <w:r w:rsidRPr="00FA3885">
        <w:rPr>
          <w:rFonts w:ascii="Times New Arabic" w:hAnsi="Times New Arabic"/>
          <w:color w:val="000000" w:themeColor="text1"/>
          <w:kern w:val="2"/>
          <w:lang w:val="en-ID" w:eastAsia="en-US"/>
          <w14:ligatures w14:val="standardContextual"/>
        </w:rPr>
      </w:r>
      <w:r w:rsidRPr="00FA3885">
        <w:rPr>
          <w:rFonts w:ascii="Times New Arabic" w:hAnsi="Times New Arabic"/>
          <w:color w:val="000000" w:themeColor="text1"/>
          <w:kern w:val="2"/>
          <w:lang w:val="en-ID" w:eastAsia="en-US"/>
          <w14:ligatures w14:val="standardContextual"/>
        </w:rPr>
        <w:fldChar w:fldCharType="separate"/>
      </w:r>
      <w:r w:rsidRPr="00FA3885">
        <w:rPr>
          <w:rFonts w:ascii="Times New Arabic" w:hAnsi="Times New Arabic" w:cs="Times New Roman"/>
          <w:color w:val="000000" w:themeColor="text1"/>
          <w:kern w:val="2"/>
          <w:sz w:val="24"/>
          <w:szCs w:val="24"/>
          <w:u w:val="single"/>
          <w:lang w:val="sv-SE" w:eastAsia="en-US"/>
          <w14:ligatures w14:val="standardContextual"/>
        </w:rPr>
        <w:t>https://doi.org/10.47647/jsh.v5i2.928</w:t>
      </w:r>
      <w:r w:rsidRPr="00FA3885">
        <w:rPr>
          <w:rFonts w:ascii="Times New Arabic" w:hAnsi="Times New Arabic"/>
          <w:color w:val="000000" w:themeColor="text1"/>
          <w:kern w:val="2"/>
          <w:lang w:val="en-ID" w:eastAsia="en-US"/>
          <w14:ligatures w14:val="standardContextual"/>
        </w:rPr>
        <w:fldChar w:fldCharType="end"/>
      </w:r>
    </w:p>
    <w:p w14:paraId="1FD17E05"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sv-SE" w:eastAsia="en-US"/>
          <w14:ligatures w14:val="standardContextual"/>
        </w:rPr>
      </w:pPr>
      <w:proofErr w:type="spellStart"/>
      <w:r w:rsidRPr="00FA3885">
        <w:rPr>
          <w:rFonts w:ascii="Times New Arabic" w:hAnsi="Times New Arabic" w:cs="Times New Roman"/>
          <w:color w:val="000000" w:themeColor="text1"/>
          <w:kern w:val="2"/>
          <w:sz w:val="24"/>
          <w:szCs w:val="24"/>
          <w:lang w:val="sv-SE" w:eastAsia="en-US"/>
          <w14:ligatures w14:val="standardContextual"/>
        </w:rPr>
        <w:t>Fauzi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A. (2025, 5 </w:t>
      </w:r>
      <w:proofErr w:type="spellStart"/>
      <w:r w:rsidRPr="00FA3885">
        <w:rPr>
          <w:rFonts w:ascii="Times New Arabic" w:hAnsi="Times New Arabic" w:cs="Times New Roman"/>
          <w:color w:val="000000" w:themeColor="text1"/>
          <w:kern w:val="2"/>
          <w:sz w:val="24"/>
          <w:szCs w:val="24"/>
          <w:lang w:val="sv-SE" w:eastAsia="en-US"/>
          <w14:ligatures w14:val="standardContextual"/>
        </w:rPr>
        <w:t>Agustus</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Wawancara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Perwakilan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Kementerian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Agama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Provinsi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Riau </w:t>
      </w:r>
      <w:proofErr w:type="spellStart"/>
      <w:r w:rsidRPr="00FA3885">
        <w:rPr>
          <w:rFonts w:ascii="Times New Arabic" w:hAnsi="Times New Arabic" w:cs="Times New Roman"/>
          <w:color w:val="000000" w:themeColor="text1"/>
          <w:kern w:val="2"/>
          <w:sz w:val="24"/>
          <w:szCs w:val="24"/>
          <w:lang w:val="sv-SE" w:eastAsia="en-US"/>
          <w14:ligatures w14:val="standardContextual"/>
        </w:rPr>
        <w:t>tentang</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perspektif</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moderasi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beragama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dalam</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perayaan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Bakar </w:t>
      </w:r>
      <w:proofErr w:type="spellStart"/>
      <w:r w:rsidRPr="00FA3885">
        <w:rPr>
          <w:rFonts w:ascii="Times New Arabic" w:hAnsi="Times New Arabic" w:cs="Times New Roman"/>
          <w:color w:val="000000" w:themeColor="text1"/>
          <w:kern w:val="2"/>
          <w:sz w:val="24"/>
          <w:szCs w:val="24"/>
          <w:lang w:val="sv-SE" w:eastAsia="en-US"/>
          <w14:ligatures w14:val="standardContextual"/>
        </w:rPr>
        <w:t>Tongkang</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Bagansiapiapi</w:t>
      </w:r>
      <w:proofErr w:type="spellEnd"/>
      <w:r w:rsidRPr="00FA3885">
        <w:rPr>
          <w:rFonts w:ascii="Times New Arabic" w:hAnsi="Times New Arabic" w:cs="Times New Roman"/>
          <w:color w:val="000000" w:themeColor="text1"/>
          <w:kern w:val="2"/>
          <w:sz w:val="24"/>
          <w:szCs w:val="24"/>
          <w:lang w:val="sv-SE" w:eastAsia="en-US"/>
          <w14:ligatures w14:val="standardContextual"/>
        </w:rPr>
        <w:t>.</w:t>
      </w:r>
    </w:p>
    <w:p w14:paraId="42DC4488"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sv-SE" w:eastAsia="en-US"/>
          <w14:ligatures w14:val="standardContextual"/>
        </w:rPr>
      </w:pPr>
      <w:proofErr w:type="spellStart"/>
      <w:r w:rsidRPr="00FA3885">
        <w:rPr>
          <w:rFonts w:ascii="Times New Arabic" w:hAnsi="Times New Arabic" w:cs="Times New Roman"/>
          <w:color w:val="000000" w:themeColor="text1"/>
          <w:kern w:val="2"/>
          <w:sz w:val="24"/>
          <w:szCs w:val="24"/>
          <w:lang w:val="sv-SE" w:eastAsia="en-US"/>
          <w14:ligatures w14:val="standardContextual"/>
        </w:rPr>
        <w:t>Faiz</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M. and </w:t>
      </w:r>
      <w:proofErr w:type="spellStart"/>
      <w:r w:rsidRPr="00FA3885">
        <w:rPr>
          <w:rFonts w:ascii="Times New Arabic" w:hAnsi="Times New Arabic" w:cs="Times New Roman"/>
          <w:color w:val="000000" w:themeColor="text1"/>
          <w:kern w:val="2"/>
          <w:sz w:val="24"/>
          <w:szCs w:val="24"/>
          <w:lang w:val="sv-SE" w:eastAsia="en-US"/>
          <w14:ligatures w14:val="standardContextual"/>
        </w:rPr>
        <w:t>Afrita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J. (2024). </w:t>
      </w:r>
      <w:proofErr w:type="spellStart"/>
      <w:r w:rsidRPr="00FA3885">
        <w:rPr>
          <w:rFonts w:ascii="Times New Arabic" w:hAnsi="Times New Arabic" w:cs="Times New Roman"/>
          <w:color w:val="000000" w:themeColor="text1"/>
          <w:kern w:val="2"/>
          <w:sz w:val="24"/>
          <w:szCs w:val="24"/>
          <w:lang w:val="sv-SE" w:eastAsia="en-US"/>
          <w14:ligatures w14:val="standardContextual"/>
        </w:rPr>
        <w:t>Kajian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literatur</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terhadap</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tantangan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dan </w:t>
      </w:r>
      <w:proofErr w:type="spellStart"/>
      <w:r w:rsidRPr="00FA3885">
        <w:rPr>
          <w:rFonts w:ascii="Times New Arabic" w:hAnsi="Times New Arabic" w:cs="Times New Roman"/>
          <w:color w:val="000000" w:themeColor="text1"/>
          <w:kern w:val="2"/>
          <w:sz w:val="24"/>
          <w:szCs w:val="24"/>
          <w:lang w:val="sv-SE" w:eastAsia="en-US"/>
          <w14:ligatures w14:val="standardContextual"/>
        </w:rPr>
        <w:t>prospek</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fikih</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minoritas</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di </w:t>
      </w:r>
      <w:proofErr w:type="spellStart"/>
      <w:r w:rsidRPr="00FA3885">
        <w:rPr>
          <w:rFonts w:ascii="Times New Arabic" w:hAnsi="Times New Arabic" w:cs="Times New Roman"/>
          <w:color w:val="000000" w:themeColor="text1"/>
          <w:kern w:val="2"/>
          <w:sz w:val="24"/>
          <w:szCs w:val="24"/>
          <w:lang w:val="sv-SE" w:eastAsia="en-US"/>
          <w14:ligatures w14:val="standardContextual"/>
        </w:rPr>
        <w:t>kalangan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muslim </w:t>
      </w:r>
      <w:proofErr w:type="spellStart"/>
      <w:r w:rsidRPr="00FA3885">
        <w:rPr>
          <w:rFonts w:ascii="Times New Arabic" w:hAnsi="Times New Arabic" w:cs="Times New Roman"/>
          <w:color w:val="000000" w:themeColor="text1"/>
          <w:kern w:val="2"/>
          <w:sz w:val="24"/>
          <w:szCs w:val="24"/>
          <w:lang w:val="sv-SE" w:eastAsia="en-US"/>
          <w14:ligatures w14:val="standardContextual"/>
        </w:rPr>
        <w:t>barat</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Lentera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Multidisciplinary</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Studies, 2(3), </w:t>
      </w:r>
      <w:proofErr w:type="gramStart"/>
      <w:r w:rsidRPr="00FA3885">
        <w:rPr>
          <w:rFonts w:ascii="Times New Arabic" w:hAnsi="Times New Arabic" w:cs="Times New Roman"/>
          <w:color w:val="000000" w:themeColor="text1"/>
          <w:kern w:val="2"/>
          <w:sz w:val="24"/>
          <w:szCs w:val="24"/>
          <w:lang w:val="sv-SE" w:eastAsia="en-US"/>
          <w14:ligatures w14:val="standardContextual"/>
        </w:rPr>
        <w:t>349-362</w:t>
      </w:r>
      <w:proofErr w:type="gramEnd"/>
      <w:r w:rsidRPr="00FA3885">
        <w:rPr>
          <w:rFonts w:ascii="Times New Arabic" w:hAnsi="Times New Arabic" w:cs="Times New Roman"/>
          <w:color w:val="000000" w:themeColor="text1"/>
          <w:kern w:val="2"/>
          <w:sz w:val="24"/>
          <w:szCs w:val="24"/>
          <w:lang w:val="sv-SE" w:eastAsia="en-US"/>
          <w14:ligatures w14:val="standardContextual"/>
        </w:rPr>
        <w:t>. https://doi.org/10.57096/lentera.v2i3.105</w:t>
      </w:r>
    </w:p>
    <w:p w14:paraId="173DF086"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proofErr w:type="spellStart"/>
      <w:r w:rsidRPr="00FA3885">
        <w:rPr>
          <w:rFonts w:ascii="Times New Arabic" w:hAnsi="Times New Arabic" w:cs="Times New Roman"/>
          <w:color w:val="000000" w:themeColor="text1"/>
          <w:kern w:val="2"/>
          <w:sz w:val="24"/>
          <w:szCs w:val="24"/>
          <w:lang w:val="sv-SE" w:eastAsia="en-US"/>
          <w14:ligatures w14:val="standardContextual"/>
        </w:rPr>
        <w:t>Fathony</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I., </w:t>
      </w:r>
      <w:proofErr w:type="spellStart"/>
      <w:r w:rsidRPr="00FA3885">
        <w:rPr>
          <w:rFonts w:ascii="Times New Arabic" w:hAnsi="Times New Arabic" w:cs="Times New Roman"/>
          <w:color w:val="000000" w:themeColor="text1"/>
          <w:kern w:val="2"/>
          <w:sz w:val="24"/>
          <w:szCs w:val="24"/>
          <w:lang w:val="sv-SE" w:eastAsia="en-US"/>
          <w14:ligatures w14:val="standardContextual"/>
        </w:rPr>
        <w:t>Maula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I., &amp; </w:t>
      </w:r>
      <w:proofErr w:type="spellStart"/>
      <w:r w:rsidRPr="00FA3885">
        <w:rPr>
          <w:rFonts w:ascii="Times New Arabic" w:hAnsi="Times New Arabic" w:cs="Times New Roman"/>
          <w:color w:val="000000" w:themeColor="text1"/>
          <w:kern w:val="2"/>
          <w:sz w:val="24"/>
          <w:szCs w:val="24"/>
          <w:lang w:val="sv-SE" w:eastAsia="en-US"/>
          <w14:ligatures w14:val="standardContextual"/>
        </w:rPr>
        <w:t>Prasastiningtyas</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 (2023). </w:t>
      </w:r>
      <w:r w:rsidRPr="00FA3885">
        <w:rPr>
          <w:rFonts w:ascii="Times New Arabic" w:hAnsi="Times New Arabic" w:cs="Times New Roman"/>
          <w:color w:val="000000" w:themeColor="text1"/>
          <w:kern w:val="2"/>
          <w:sz w:val="24"/>
          <w:szCs w:val="24"/>
          <w:lang w:val="nb-NO" w:eastAsia="en-US"/>
          <w14:ligatures w14:val="standardContextual"/>
        </w:rPr>
        <w:t xml:space="preserve">Analisis simbolisme dalam komunikasi selama bulan ramadhan untuk mempromosikan toleransi antar umat beragama. Akselerasi Jurnal Ilmiah Nasional, 5(1), 57-67. </w:t>
      </w:r>
      <w:r w:rsidRPr="00FA3885">
        <w:rPr>
          <w:rFonts w:ascii="Times New Arabic" w:hAnsi="Times New Arabic"/>
          <w:color w:val="000000" w:themeColor="text1"/>
          <w:kern w:val="2"/>
          <w:lang w:val="en-ID" w:eastAsia="en-US"/>
          <w14:ligatures w14:val="standardContextual"/>
        </w:rPr>
        <w:fldChar w:fldCharType="begin"/>
      </w:r>
      <w:r w:rsidRPr="00FA3885">
        <w:rPr>
          <w:rFonts w:ascii="Times New Arabic" w:hAnsi="Times New Arabic"/>
          <w:color w:val="000000" w:themeColor="text1"/>
          <w:kern w:val="2"/>
          <w:lang w:val="nb-NO" w:eastAsia="en-US"/>
          <w14:ligatures w14:val="standardContextual"/>
        </w:rPr>
        <w:instrText>HYPERLINK "https://doi.org/10.54783/jin.v5i1.678"</w:instrText>
      </w:r>
      <w:r w:rsidRPr="00FA3885">
        <w:rPr>
          <w:rFonts w:ascii="Times New Arabic" w:hAnsi="Times New Arabic"/>
          <w:color w:val="000000" w:themeColor="text1"/>
          <w:kern w:val="2"/>
          <w:lang w:val="en-ID" w:eastAsia="en-US"/>
          <w14:ligatures w14:val="standardContextual"/>
        </w:rPr>
      </w:r>
      <w:r w:rsidRPr="00FA3885">
        <w:rPr>
          <w:rFonts w:ascii="Times New Arabic" w:hAnsi="Times New Arabic"/>
          <w:color w:val="000000" w:themeColor="text1"/>
          <w:kern w:val="2"/>
          <w:lang w:val="en-ID" w:eastAsia="en-US"/>
          <w14:ligatures w14:val="standardContextual"/>
        </w:rPr>
        <w:fldChar w:fldCharType="separate"/>
      </w:r>
      <w:r w:rsidRPr="00FA3885">
        <w:rPr>
          <w:rFonts w:ascii="Times New Arabic" w:hAnsi="Times New Arabic" w:cs="Times New Roman"/>
          <w:color w:val="000000" w:themeColor="text1"/>
          <w:kern w:val="2"/>
          <w:sz w:val="24"/>
          <w:szCs w:val="24"/>
          <w:u w:val="single"/>
          <w:lang w:val="nb-NO" w:eastAsia="en-US"/>
          <w14:ligatures w14:val="standardContextual"/>
        </w:rPr>
        <w:t>https://doi.org/10.54783/jin.v5i1.678</w:t>
      </w:r>
      <w:r w:rsidRPr="00FA3885">
        <w:rPr>
          <w:rFonts w:ascii="Times New Arabic" w:hAnsi="Times New Arabic"/>
          <w:color w:val="000000" w:themeColor="text1"/>
          <w:kern w:val="2"/>
          <w:lang w:val="en-ID" w:eastAsia="en-US"/>
          <w14:ligatures w14:val="standardContextual"/>
        </w:rPr>
        <w:fldChar w:fldCharType="end"/>
      </w:r>
    </w:p>
    <w:p w14:paraId="3E40F35C"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 xml:space="preserve">Hidayat, K. (2020). "Moderasi Beragama di Indonesia: Tantangan dan Strategi." </w:t>
      </w:r>
      <w:proofErr w:type="spellStart"/>
      <w:r w:rsidRPr="00FA3885">
        <w:rPr>
          <w:rFonts w:ascii="Times New Arabic" w:hAnsi="Times New Arabic" w:cs="Times New Roman"/>
          <w:i/>
          <w:iCs/>
          <w:color w:val="000000" w:themeColor="text1"/>
          <w:kern w:val="2"/>
          <w:sz w:val="24"/>
          <w:szCs w:val="24"/>
          <w:lang w:val="en-ID" w:eastAsia="en-US"/>
          <w14:ligatures w14:val="standardContextual"/>
        </w:rPr>
        <w:t>Jurnal</w:t>
      </w:r>
      <w:proofErr w:type="spellEnd"/>
      <w:r w:rsidRPr="00FA3885">
        <w:rPr>
          <w:rFonts w:ascii="Times New Arabic" w:hAnsi="Times New Arabic" w:cs="Times New Roman"/>
          <w:i/>
          <w:iCs/>
          <w:color w:val="000000" w:themeColor="text1"/>
          <w:kern w:val="2"/>
          <w:sz w:val="24"/>
          <w:szCs w:val="24"/>
          <w:lang w:val="en-ID" w:eastAsia="en-US"/>
          <w14:ligatures w14:val="standardContextual"/>
        </w:rPr>
        <w:t xml:space="preserve"> Harmoni</w:t>
      </w:r>
      <w:r w:rsidRPr="00FA3885">
        <w:rPr>
          <w:rFonts w:ascii="Times New Arabic" w:hAnsi="Times New Arabic" w:cs="Times New Roman"/>
          <w:color w:val="000000" w:themeColor="text1"/>
          <w:kern w:val="2"/>
          <w:sz w:val="24"/>
          <w:szCs w:val="24"/>
          <w:lang w:val="en-ID" w:eastAsia="en-US"/>
          <w14:ligatures w14:val="standardContextual"/>
        </w:rPr>
        <w:t xml:space="preserve">, 19(2), 201–214. </w:t>
      </w:r>
      <w:hyperlink r:id="rId10" w:history="1">
        <w:r w:rsidRPr="00FA3885">
          <w:rPr>
            <w:rFonts w:ascii="Times New Arabic" w:hAnsi="Times New Arabic" w:cs="Times New Roman"/>
            <w:color w:val="000000" w:themeColor="text1"/>
            <w:kern w:val="2"/>
            <w:sz w:val="24"/>
            <w:szCs w:val="24"/>
            <w:u w:val="single"/>
            <w:lang w:val="en-ID" w:eastAsia="en-US"/>
            <w14:ligatures w14:val="standardContextual"/>
          </w:rPr>
          <w:t>https://doi.org/10.32488/harmoni.v19i2</w:t>
        </w:r>
      </w:hyperlink>
      <w:r w:rsidRPr="00FA3885">
        <w:rPr>
          <w:rFonts w:ascii="Times New Arabic" w:hAnsi="Times New Arabic" w:cs="Times New Roman"/>
          <w:color w:val="000000" w:themeColor="text1"/>
          <w:kern w:val="2"/>
          <w:sz w:val="24"/>
          <w:szCs w:val="24"/>
          <w:lang w:val="en-ID" w:eastAsia="en-US"/>
          <w14:ligatures w14:val="standardContextual"/>
        </w:rPr>
        <w:t>.</w:t>
      </w:r>
    </w:p>
    <w:p w14:paraId="5CC4F07A"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r w:rsidRPr="00FA3885">
        <w:rPr>
          <w:rFonts w:ascii="Times New Arabic" w:hAnsi="Times New Arabic" w:cs="Times New Roman"/>
          <w:color w:val="000000" w:themeColor="text1"/>
          <w:kern w:val="2"/>
          <w:sz w:val="24"/>
          <w:szCs w:val="24"/>
          <w:lang w:val="en-ID" w:eastAsia="en-US"/>
          <w14:ligatures w14:val="standardContextual"/>
        </w:rPr>
        <w:t xml:space="preserve">Hannan, A. and </w:t>
      </w:r>
      <w:proofErr w:type="spellStart"/>
      <w:r w:rsidRPr="00FA3885">
        <w:rPr>
          <w:rFonts w:ascii="Times New Arabic" w:hAnsi="Times New Arabic" w:cs="Times New Roman"/>
          <w:color w:val="000000" w:themeColor="text1"/>
          <w:kern w:val="2"/>
          <w:sz w:val="24"/>
          <w:szCs w:val="24"/>
          <w:lang w:val="en-ID" w:eastAsia="en-US"/>
          <w14:ligatures w14:val="standardContextual"/>
        </w:rPr>
        <w:t>Umam</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K. (2023). </w:t>
      </w:r>
      <w:r w:rsidRPr="00FA3885">
        <w:rPr>
          <w:rFonts w:ascii="Times New Arabic" w:hAnsi="Times New Arabic" w:cs="Times New Roman"/>
          <w:color w:val="000000" w:themeColor="text1"/>
          <w:kern w:val="2"/>
          <w:sz w:val="24"/>
          <w:szCs w:val="24"/>
          <w:lang w:val="nb-NO" w:eastAsia="en-US"/>
          <w14:ligatures w14:val="standardContextual"/>
        </w:rPr>
        <w:t>Tinjauan sosiologi terhadap relasi agama dan budaya pada tradisi koloman dalam memperkuat religiusitas masyarakat madura. Resiprokal Jurnal Riset Sosiologi Progresif Aktual, 5(1), 57-73. https://doi.org/10.29303/resiprokal.v5i1.284</w:t>
      </w:r>
    </w:p>
    <w:p w14:paraId="0A4A7348"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r w:rsidRPr="00FA3885">
        <w:rPr>
          <w:rFonts w:ascii="Times New Arabic" w:hAnsi="Times New Arabic" w:cs="Times New Roman"/>
          <w:color w:val="000000" w:themeColor="text1"/>
          <w:kern w:val="2"/>
          <w:sz w:val="24"/>
          <w:szCs w:val="24"/>
          <w:lang w:val="en-ID" w:eastAsia="en-US"/>
          <w14:ligatures w14:val="standardContextual"/>
        </w:rPr>
        <w:t xml:space="preserve">Hasyim, F. and Junaidi, J. (2023). </w:t>
      </w:r>
      <w:r w:rsidRPr="00FA3885">
        <w:rPr>
          <w:rFonts w:ascii="Times New Arabic" w:hAnsi="Times New Arabic" w:cs="Times New Roman"/>
          <w:color w:val="000000" w:themeColor="text1"/>
          <w:kern w:val="2"/>
          <w:sz w:val="24"/>
          <w:szCs w:val="24"/>
          <w:lang w:val="nb-NO" w:eastAsia="en-US"/>
          <w14:ligatures w14:val="standardContextual"/>
        </w:rPr>
        <w:t xml:space="preserve">Penguatan moderasi beragama sebagai upaya pencegahan radikalisme dan intoleransi pelajar di karesidenan surakarta. Jurnal Pemberdayaan Masyarakat Universitas Al Azhar Indonesia, 6(1), 1. </w:t>
      </w:r>
      <w:r w:rsidRPr="00FA3885">
        <w:rPr>
          <w:rFonts w:ascii="Times New Arabic" w:hAnsi="Times New Arabic"/>
          <w:color w:val="000000" w:themeColor="text1"/>
          <w:kern w:val="2"/>
          <w:lang w:val="en-ID" w:eastAsia="en-US"/>
          <w14:ligatures w14:val="standardContextual"/>
        </w:rPr>
        <w:fldChar w:fldCharType="begin"/>
      </w:r>
      <w:r w:rsidRPr="00FA3885">
        <w:rPr>
          <w:rFonts w:ascii="Times New Arabic" w:hAnsi="Times New Arabic"/>
          <w:color w:val="000000" w:themeColor="text1"/>
          <w:kern w:val="2"/>
          <w:lang w:val="nb-NO" w:eastAsia="en-US"/>
          <w14:ligatures w14:val="standardContextual"/>
        </w:rPr>
        <w:instrText>HYPERLINK "https://doi.org/10.36722/jpm.v6i1.2141"</w:instrText>
      </w:r>
      <w:r w:rsidRPr="00FA3885">
        <w:rPr>
          <w:rFonts w:ascii="Times New Arabic" w:hAnsi="Times New Arabic"/>
          <w:color w:val="000000" w:themeColor="text1"/>
          <w:kern w:val="2"/>
          <w:lang w:val="en-ID" w:eastAsia="en-US"/>
          <w14:ligatures w14:val="standardContextual"/>
        </w:rPr>
      </w:r>
      <w:r w:rsidRPr="00FA3885">
        <w:rPr>
          <w:rFonts w:ascii="Times New Arabic" w:hAnsi="Times New Arabic"/>
          <w:color w:val="000000" w:themeColor="text1"/>
          <w:kern w:val="2"/>
          <w:lang w:val="en-ID" w:eastAsia="en-US"/>
          <w14:ligatures w14:val="standardContextual"/>
        </w:rPr>
        <w:fldChar w:fldCharType="separate"/>
      </w:r>
      <w:r w:rsidRPr="00FA3885">
        <w:rPr>
          <w:rFonts w:ascii="Times New Arabic" w:hAnsi="Times New Arabic" w:cs="Times New Roman"/>
          <w:color w:val="000000" w:themeColor="text1"/>
          <w:kern w:val="2"/>
          <w:sz w:val="24"/>
          <w:szCs w:val="24"/>
          <w:u w:val="single"/>
          <w:lang w:val="nb-NO" w:eastAsia="en-US"/>
          <w14:ligatures w14:val="standardContextual"/>
        </w:rPr>
        <w:t>https://doi.org/10.36722/jpm.v6i1.2141</w:t>
      </w:r>
      <w:r w:rsidRPr="00FA3885">
        <w:rPr>
          <w:rFonts w:ascii="Times New Arabic" w:hAnsi="Times New Arabic"/>
          <w:color w:val="000000" w:themeColor="text1"/>
          <w:kern w:val="2"/>
          <w:lang w:val="en-ID" w:eastAsia="en-US"/>
          <w14:ligatures w14:val="standardContextual"/>
        </w:rPr>
        <w:fldChar w:fldCharType="end"/>
      </w:r>
    </w:p>
    <w:p w14:paraId="65354767"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Hasyim, H. S. (2025, 5 Agustus). Wawancara Ketua Umum MUI Kabupaten Rokan Hilir tentang panduan keikutsertaan umat Muslim dalam perayaan Bakar Tongkang. Bagansiapiapi.</w:t>
      </w:r>
    </w:p>
    <w:p w14:paraId="6F5E5805"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lastRenderedPageBreak/>
        <w:t xml:space="preserve">Maknun, M., Muna, M., Prasetyo, A., &amp; Eliza, M. (2021). Literasi keagamaan berbasis inklusi sosial melalui manajemen dan pengembangan sumber daya manusia di perpustakaan. Pusaka, 9(2), 161-176. </w:t>
      </w:r>
      <w:r w:rsidRPr="00FA3885">
        <w:rPr>
          <w:rFonts w:ascii="Times New Arabic" w:hAnsi="Times New Arabic"/>
          <w:color w:val="000000" w:themeColor="text1"/>
          <w:kern w:val="2"/>
          <w:lang w:val="en-ID" w:eastAsia="en-US"/>
          <w14:ligatures w14:val="standardContextual"/>
        </w:rPr>
        <w:fldChar w:fldCharType="begin"/>
      </w:r>
      <w:r w:rsidRPr="00FA3885">
        <w:rPr>
          <w:rFonts w:ascii="Times New Arabic" w:hAnsi="Times New Arabic"/>
          <w:color w:val="000000" w:themeColor="text1"/>
          <w:kern w:val="2"/>
          <w:lang w:val="nb-NO" w:eastAsia="en-US"/>
          <w14:ligatures w14:val="standardContextual"/>
        </w:rPr>
        <w:instrText>HYPERLINK "https://doi.org/10.31969/pusaka.v9i2.522"</w:instrText>
      </w:r>
      <w:r w:rsidRPr="00FA3885">
        <w:rPr>
          <w:rFonts w:ascii="Times New Arabic" w:hAnsi="Times New Arabic"/>
          <w:color w:val="000000" w:themeColor="text1"/>
          <w:kern w:val="2"/>
          <w:lang w:val="en-ID" w:eastAsia="en-US"/>
          <w14:ligatures w14:val="standardContextual"/>
        </w:rPr>
      </w:r>
      <w:r w:rsidRPr="00FA3885">
        <w:rPr>
          <w:rFonts w:ascii="Times New Arabic" w:hAnsi="Times New Arabic"/>
          <w:color w:val="000000" w:themeColor="text1"/>
          <w:kern w:val="2"/>
          <w:lang w:val="en-ID" w:eastAsia="en-US"/>
          <w14:ligatures w14:val="standardContextual"/>
        </w:rPr>
        <w:fldChar w:fldCharType="separate"/>
      </w:r>
      <w:r w:rsidRPr="00FA3885">
        <w:rPr>
          <w:rFonts w:ascii="Times New Arabic" w:hAnsi="Times New Arabic" w:cs="Times New Roman"/>
          <w:color w:val="000000" w:themeColor="text1"/>
          <w:kern w:val="2"/>
          <w:sz w:val="24"/>
          <w:szCs w:val="24"/>
          <w:u w:val="single"/>
          <w:lang w:val="nb-NO" w:eastAsia="en-US"/>
          <w14:ligatures w14:val="standardContextual"/>
        </w:rPr>
        <w:t>https://doi.org/10.31969/pusaka.v9i2.522</w:t>
      </w:r>
      <w:r w:rsidRPr="00FA3885">
        <w:rPr>
          <w:rFonts w:ascii="Times New Arabic" w:hAnsi="Times New Arabic"/>
          <w:color w:val="000000" w:themeColor="text1"/>
          <w:kern w:val="2"/>
          <w:lang w:val="en-ID" w:eastAsia="en-US"/>
          <w14:ligatures w14:val="standardContextual"/>
        </w:rPr>
        <w:fldChar w:fldCharType="end"/>
      </w:r>
    </w:p>
    <w:p w14:paraId="1163BA45"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Mansyur, I. (2025, 5 Agustus). Wawancara Tokoh Agama Lokal Rokan Hilir tentang bimbingan umat Muslim terkait perayaan Bakar Tongkang. Bagansiapiapi.</w:t>
      </w:r>
    </w:p>
    <w:p w14:paraId="39EDA5AF"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 xml:space="preserve">Marbun, S. (2023). Analisis pemahaman dan implementasi nilai-nilai multikulturalisme dalam hadis sebagai landasan untuk membangun harmoni sosial di era globalisasi. </w:t>
      </w:r>
      <w:r w:rsidRPr="00FA3885">
        <w:rPr>
          <w:rFonts w:ascii="Times New Arabic" w:hAnsi="Times New Arabic" w:cs="Times New Roman"/>
          <w:color w:val="000000" w:themeColor="text1"/>
          <w:kern w:val="2"/>
          <w:sz w:val="24"/>
          <w:szCs w:val="24"/>
          <w:lang w:val="en-ID" w:eastAsia="en-US"/>
          <w14:ligatures w14:val="standardContextual"/>
        </w:rPr>
        <w:t>JIS, 1(1), 74-87. https://doi.org/10.59024/jis.v1i1.380</w:t>
      </w:r>
    </w:p>
    <w:p w14:paraId="6CFA0263"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r w:rsidRPr="00FA3885">
        <w:rPr>
          <w:rFonts w:ascii="Times New Arabic" w:hAnsi="Times New Arabic" w:cs="Times New Roman"/>
          <w:color w:val="000000" w:themeColor="text1"/>
          <w:kern w:val="2"/>
          <w:sz w:val="24"/>
          <w:szCs w:val="24"/>
          <w:lang w:val="en-ID" w:eastAsia="en-US"/>
          <w14:ligatures w14:val="standardContextual"/>
        </w:rPr>
        <w:t xml:space="preserve">Maulidin, S. and Nawawi, M. (2024). </w:t>
      </w:r>
      <w:proofErr w:type="spellStart"/>
      <w:r w:rsidRPr="00FA3885">
        <w:rPr>
          <w:rFonts w:ascii="Times New Arabic" w:hAnsi="Times New Arabic" w:cs="Times New Roman"/>
          <w:color w:val="000000" w:themeColor="text1"/>
          <w:kern w:val="2"/>
          <w:sz w:val="24"/>
          <w:szCs w:val="24"/>
          <w:lang w:val="en-ID" w:eastAsia="en-US"/>
          <w14:ligatures w14:val="standardContextual"/>
        </w:rPr>
        <w:t>Kearifan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lokal</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dalam</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tradisi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proofErr w:type="gramStart"/>
      <w:r w:rsidRPr="00FA3885">
        <w:rPr>
          <w:rFonts w:ascii="Times New Arabic" w:hAnsi="Times New Arabic" w:cs="Times New Roman"/>
          <w:color w:val="000000" w:themeColor="text1"/>
          <w:kern w:val="2"/>
          <w:sz w:val="24"/>
          <w:szCs w:val="24"/>
          <w:lang w:val="en-ID" w:eastAsia="en-US"/>
          <w14:ligatures w14:val="standardContextual"/>
        </w:rPr>
        <w:t>keislaman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gram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memahami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kontribusi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budaya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islam</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di </w:t>
      </w:r>
      <w:proofErr w:type="spellStart"/>
      <w:r w:rsidRPr="00FA3885">
        <w:rPr>
          <w:rFonts w:ascii="Times New Arabic" w:hAnsi="Times New Arabic" w:cs="Times New Roman"/>
          <w:color w:val="000000" w:themeColor="text1"/>
          <w:kern w:val="2"/>
          <w:sz w:val="24"/>
          <w:szCs w:val="24"/>
          <w:lang w:val="en-ID" w:eastAsia="en-US"/>
          <w14:ligatures w14:val="standardContextual"/>
        </w:rPr>
        <w:t>indonesia</w:t>
      </w:r>
      <w:proofErr w:type="spellEnd"/>
      <w:r w:rsidRPr="00FA3885">
        <w:rPr>
          <w:rFonts w:ascii="Times New Arabic" w:hAnsi="Times New Arabic" w:cs="Times New Roman"/>
          <w:color w:val="000000" w:themeColor="text1"/>
          <w:kern w:val="2"/>
          <w:sz w:val="24"/>
          <w:szCs w:val="24"/>
          <w:lang w:val="en-ID" w:eastAsia="en-US"/>
          <w14:ligatures w14:val="standardContextual"/>
        </w:rPr>
        <w:t>. ISEDU, 2(2), 41-50. https://doi.org/10.59966/isedu.v2i2.1473</w:t>
      </w:r>
    </w:p>
    <w:p w14:paraId="4E3A8BAC"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proofErr w:type="spellStart"/>
      <w:r w:rsidRPr="00FA3885">
        <w:rPr>
          <w:rFonts w:ascii="Times New Arabic" w:hAnsi="Times New Arabic" w:cs="Times New Roman"/>
          <w:color w:val="000000" w:themeColor="text1"/>
          <w:kern w:val="2"/>
          <w:sz w:val="24"/>
          <w:szCs w:val="24"/>
          <w:lang w:val="en-ID" w:eastAsia="en-US"/>
          <w14:ligatures w14:val="standardContextual"/>
        </w:rPr>
        <w:t>Munjiat</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S., Rifa’i, A., Jamali, J., &amp; Fatimah, S. (2023). Progressivism of multicultural </w:t>
      </w:r>
      <w:proofErr w:type="spellStart"/>
      <w:r w:rsidRPr="00FA3885">
        <w:rPr>
          <w:rFonts w:ascii="Times New Arabic" w:hAnsi="Times New Arabic" w:cs="Times New Roman"/>
          <w:color w:val="000000" w:themeColor="text1"/>
          <w:kern w:val="2"/>
          <w:sz w:val="24"/>
          <w:szCs w:val="24"/>
          <w:lang w:val="en-ID" w:eastAsia="en-US"/>
          <w14:ligatures w14:val="standardContextual"/>
        </w:rPr>
        <w:t>islamic</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education. </w:t>
      </w:r>
      <w:r w:rsidRPr="00FA3885">
        <w:rPr>
          <w:rFonts w:ascii="Times New Arabic" w:hAnsi="Times New Arabic" w:cs="Times New Roman"/>
          <w:color w:val="000000" w:themeColor="text1"/>
          <w:kern w:val="2"/>
          <w:sz w:val="24"/>
          <w:szCs w:val="24"/>
          <w:lang w:val="nb-NO" w:eastAsia="en-US"/>
          <w14:ligatures w14:val="standardContextual"/>
        </w:rPr>
        <w:t>Munaddhomah Jurnal Manajemen Pendidikan Islam, 4(3), 572-582. https://doi.org/10.31538/munaddhomah.v4i3.509</w:t>
      </w:r>
    </w:p>
    <w:p w14:paraId="370D1B21"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 xml:space="preserve">Najmi, H. (2023). Pendidikan moderasi beragama dan implikasinya terhadap sikap sosial peserta didik. </w:t>
      </w:r>
      <w:r w:rsidRPr="00FA3885">
        <w:rPr>
          <w:rFonts w:ascii="Times New Arabic" w:hAnsi="Times New Arabic" w:cs="Times New Roman"/>
          <w:color w:val="000000" w:themeColor="text1"/>
          <w:kern w:val="2"/>
          <w:sz w:val="24"/>
          <w:szCs w:val="24"/>
          <w:lang w:val="en-ID" w:eastAsia="en-US"/>
          <w14:ligatures w14:val="standardContextual"/>
        </w:rPr>
        <w:t>Al-Muttaqin, 9(1), 17-25. https://doi.org/10.37567/al-muttaqin.v9i1.2067</w:t>
      </w:r>
    </w:p>
    <w:p w14:paraId="0CD68C12"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r w:rsidRPr="00FA3885">
        <w:rPr>
          <w:rFonts w:ascii="Times New Arabic" w:hAnsi="Times New Arabic" w:cs="Times New Roman"/>
          <w:color w:val="000000" w:themeColor="text1"/>
          <w:kern w:val="2"/>
          <w:sz w:val="24"/>
          <w:szCs w:val="24"/>
          <w:lang w:val="en-ID" w:eastAsia="en-US"/>
          <w14:ligatures w14:val="standardContextual"/>
        </w:rPr>
        <w:t xml:space="preserve">Olivia, O. (2022). </w:t>
      </w:r>
      <w:proofErr w:type="spellStart"/>
      <w:r w:rsidRPr="00FA3885">
        <w:rPr>
          <w:rFonts w:ascii="Times New Arabic" w:hAnsi="Times New Arabic" w:cs="Times New Roman"/>
          <w:color w:val="000000" w:themeColor="text1"/>
          <w:kern w:val="2"/>
          <w:sz w:val="24"/>
          <w:szCs w:val="24"/>
          <w:lang w:val="en-ID" w:eastAsia="en-US"/>
          <w14:ligatures w14:val="standardContextual"/>
        </w:rPr>
        <w:t>Sinkretisme</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dalam</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ritual </w:t>
      </w:r>
      <w:proofErr w:type="spellStart"/>
      <w:r w:rsidRPr="00FA3885">
        <w:rPr>
          <w:rFonts w:ascii="Times New Arabic" w:hAnsi="Times New Arabic" w:cs="Times New Roman"/>
          <w:color w:val="000000" w:themeColor="text1"/>
          <w:kern w:val="2"/>
          <w:sz w:val="24"/>
          <w:szCs w:val="24"/>
          <w:lang w:val="en-ID" w:eastAsia="en-US"/>
          <w14:ligatures w14:val="standardContextual"/>
        </w:rPr>
        <w:t>kirab</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dewi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makco</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di </w:t>
      </w:r>
      <w:proofErr w:type="spellStart"/>
      <w:r w:rsidRPr="00FA3885">
        <w:rPr>
          <w:rFonts w:ascii="Times New Arabic" w:hAnsi="Times New Arabic" w:cs="Times New Roman"/>
          <w:color w:val="000000" w:themeColor="text1"/>
          <w:kern w:val="2"/>
          <w:sz w:val="24"/>
          <w:szCs w:val="24"/>
          <w:lang w:val="en-ID" w:eastAsia="en-US"/>
          <w14:ligatures w14:val="standardContextual"/>
        </w:rPr>
        <w:t>kelenteng</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tjoe</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tik </w:t>
      </w:r>
      <w:proofErr w:type="spellStart"/>
      <w:r w:rsidRPr="00FA3885">
        <w:rPr>
          <w:rFonts w:ascii="Times New Arabic" w:hAnsi="Times New Arabic" w:cs="Times New Roman"/>
          <w:color w:val="000000" w:themeColor="text1"/>
          <w:kern w:val="2"/>
          <w:sz w:val="24"/>
          <w:szCs w:val="24"/>
          <w:lang w:val="en-ID" w:eastAsia="en-US"/>
          <w14:ligatures w14:val="standardContextual"/>
        </w:rPr>
        <w:t>kiong</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eastAsia="MS Gothic" w:hAnsi="Times New Arabic" w:cs="Times New Roman"/>
          <w:color w:val="000000" w:themeColor="text1"/>
          <w:kern w:val="2"/>
          <w:sz w:val="24"/>
          <w:szCs w:val="24"/>
          <w:lang w:val="en-ID" w:eastAsia="en-US"/>
          <w14:ligatures w14:val="standardContextual"/>
        </w:rPr>
        <w:t>慈德宮</w:t>
      </w:r>
      <w:r w:rsidRPr="00FA3885">
        <w:rPr>
          <w:rFonts w:ascii="Times New Arabic" w:hAnsi="Times New Arabic" w:cs="Times New Roman"/>
          <w:color w:val="000000" w:themeColor="text1"/>
          <w:kern w:val="2"/>
          <w:sz w:val="24"/>
          <w:szCs w:val="24"/>
          <w:lang w:val="en-ID" w:eastAsia="en-US"/>
          <w14:ligatures w14:val="standardContextual"/>
        </w:rPr>
        <w:t>cide</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gong) </w:t>
      </w:r>
      <w:proofErr w:type="spellStart"/>
      <w:r w:rsidRPr="00FA3885">
        <w:rPr>
          <w:rFonts w:ascii="Times New Arabic" w:hAnsi="Times New Arabic" w:cs="Times New Roman"/>
          <w:color w:val="000000" w:themeColor="text1"/>
          <w:kern w:val="2"/>
          <w:sz w:val="24"/>
          <w:szCs w:val="24"/>
          <w:lang w:val="en-ID" w:eastAsia="en-US"/>
          <w14:ligatures w14:val="standardContextual"/>
        </w:rPr>
        <w:t>pasuruan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Biokultur</w:t>
      </w:r>
      <w:proofErr w:type="spellEnd"/>
      <w:r w:rsidRPr="00FA3885">
        <w:rPr>
          <w:rFonts w:ascii="Times New Arabic" w:hAnsi="Times New Arabic" w:cs="Times New Roman"/>
          <w:color w:val="000000" w:themeColor="text1"/>
          <w:kern w:val="2"/>
          <w:sz w:val="24"/>
          <w:szCs w:val="24"/>
          <w:lang w:val="en-ID" w:eastAsia="en-US"/>
          <w14:ligatures w14:val="standardContextual"/>
        </w:rPr>
        <w:t>, 11(2), 85-98. https://doi.org/10.20473/bk.v11i2.41256</w:t>
      </w:r>
    </w:p>
    <w:p w14:paraId="1DC8422B"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proofErr w:type="spellStart"/>
      <w:r w:rsidRPr="00FA3885">
        <w:rPr>
          <w:rFonts w:ascii="Times New Arabic" w:hAnsi="Times New Arabic" w:cs="Times New Roman"/>
          <w:color w:val="000000" w:themeColor="text1"/>
          <w:kern w:val="2"/>
          <w:sz w:val="24"/>
          <w:szCs w:val="24"/>
          <w:lang w:val="en-ID" w:eastAsia="en-US"/>
          <w14:ligatures w14:val="standardContextual"/>
        </w:rPr>
        <w:t>Panuntun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S. and Aziz, A. (2023). </w:t>
      </w:r>
      <w:r w:rsidRPr="00FA3885">
        <w:rPr>
          <w:rFonts w:ascii="Times New Arabic" w:hAnsi="Times New Arabic" w:cs="Times New Roman"/>
          <w:color w:val="000000" w:themeColor="text1"/>
          <w:kern w:val="2"/>
          <w:sz w:val="24"/>
          <w:szCs w:val="24"/>
          <w:lang w:val="nb-NO" w:eastAsia="en-US"/>
          <w14:ligatures w14:val="standardContextual"/>
        </w:rPr>
        <w:t xml:space="preserve">Pendidikan multikulturalisme dan prospeknya di indonesia. </w:t>
      </w:r>
      <w:r w:rsidRPr="00FA3885">
        <w:rPr>
          <w:rFonts w:ascii="Times New Arabic" w:hAnsi="Times New Arabic" w:cs="Times New Roman"/>
          <w:color w:val="000000" w:themeColor="text1"/>
          <w:kern w:val="2"/>
          <w:sz w:val="24"/>
          <w:szCs w:val="24"/>
          <w:lang w:val="en-ID" w:eastAsia="en-US"/>
          <w14:ligatures w14:val="standardContextual"/>
        </w:rPr>
        <w:t>Syntax Idea, 5(8), 1046-1058. https://doi.org/10.46799/syntax-idea.v5i8.2474</w:t>
      </w:r>
    </w:p>
    <w:p w14:paraId="269F24DE"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proofErr w:type="spellStart"/>
      <w:r w:rsidRPr="00FA3885">
        <w:rPr>
          <w:rFonts w:ascii="Times New Arabic" w:hAnsi="Times New Arabic" w:cs="Times New Roman"/>
          <w:color w:val="000000" w:themeColor="text1"/>
          <w:kern w:val="2"/>
          <w:sz w:val="24"/>
          <w:szCs w:val="24"/>
          <w:lang w:val="en-ID" w:eastAsia="en-US"/>
          <w14:ligatures w14:val="standardContextual"/>
        </w:rPr>
        <w:t>Pramulia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P. (2019). </w:t>
      </w:r>
      <w:proofErr w:type="spellStart"/>
      <w:r w:rsidRPr="00FA3885">
        <w:rPr>
          <w:rFonts w:ascii="Times New Arabic" w:hAnsi="Times New Arabic" w:cs="Times New Roman"/>
          <w:color w:val="000000" w:themeColor="text1"/>
          <w:kern w:val="2"/>
          <w:sz w:val="24"/>
          <w:szCs w:val="24"/>
          <w:lang w:val="en-ID" w:eastAsia="en-US"/>
          <w14:ligatures w14:val="standardContextual"/>
        </w:rPr>
        <w:t>Sinkretisme</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dalam</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serat</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centhini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jilid</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karya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sri</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susuhanan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pakubuwana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v. </w:t>
      </w:r>
      <w:proofErr w:type="spellStart"/>
      <w:r w:rsidRPr="00FA3885">
        <w:rPr>
          <w:rFonts w:ascii="Times New Arabic" w:hAnsi="Times New Arabic" w:cs="Times New Roman"/>
          <w:color w:val="000000" w:themeColor="text1"/>
          <w:kern w:val="2"/>
          <w:sz w:val="24"/>
          <w:szCs w:val="24"/>
          <w:lang w:val="en-ID" w:eastAsia="en-US"/>
          <w14:ligatures w14:val="standardContextual"/>
        </w:rPr>
        <w:t>Jurnal</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Ilmiah</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Fonema, 2(2), 144-159. https://doi.org/10.25139/fn.v2i2.1812</w:t>
      </w:r>
    </w:p>
    <w:p w14:paraId="425629CC"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sv-SE" w:eastAsia="en-US"/>
          <w14:ligatures w14:val="standardContextual"/>
        </w:rPr>
      </w:pPr>
      <w:r w:rsidRPr="00FA3885">
        <w:rPr>
          <w:rFonts w:ascii="Times New Arabic" w:hAnsi="Times New Arabic" w:cs="Times New Roman"/>
          <w:color w:val="000000" w:themeColor="text1"/>
          <w:kern w:val="2"/>
          <w:sz w:val="24"/>
          <w:szCs w:val="24"/>
          <w:lang w:val="en-ID" w:eastAsia="en-US"/>
          <w14:ligatures w14:val="standardContextual"/>
        </w:rPr>
        <w:t xml:space="preserve">Rahman, A. and Dalle, M. (2024). </w:t>
      </w:r>
      <w:r w:rsidRPr="00FA3885">
        <w:rPr>
          <w:rFonts w:ascii="Times New Arabic" w:hAnsi="Times New Arabic" w:cs="Times New Roman"/>
          <w:color w:val="000000" w:themeColor="text1"/>
          <w:kern w:val="2"/>
          <w:sz w:val="24"/>
          <w:szCs w:val="24"/>
          <w:lang w:val="nb-NO" w:eastAsia="en-US"/>
          <w14:ligatures w14:val="standardContextual"/>
        </w:rPr>
        <w:t xml:space="preserve">Kontekstualisasi tasyabbuh dalam fatwa mui tahun 2024 tentang salam lintas agama. </w:t>
      </w:r>
      <w:proofErr w:type="spellStart"/>
      <w:r w:rsidRPr="00FA3885">
        <w:rPr>
          <w:rFonts w:ascii="Times New Arabic" w:hAnsi="Times New Arabic" w:cs="Times New Roman"/>
          <w:color w:val="000000" w:themeColor="text1"/>
          <w:kern w:val="2"/>
          <w:sz w:val="24"/>
          <w:szCs w:val="24"/>
          <w:lang w:val="sv-SE" w:eastAsia="en-US"/>
          <w14:ligatures w14:val="standardContextual"/>
        </w:rPr>
        <w:t>Jurnal</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Kajian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Islam Modern, 11(01), </w:t>
      </w:r>
      <w:proofErr w:type="gramStart"/>
      <w:r w:rsidRPr="00FA3885">
        <w:rPr>
          <w:rFonts w:ascii="Times New Arabic" w:hAnsi="Times New Arabic" w:cs="Times New Roman"/>
          <w:color w:val="000000" w:themeColor="text1"/>
          <w:kern w:val="2"/>
          <w:sz w:val="24"/>
          <w:szCs w:val="24"/>
          <w:lang w:val="sv-SE" w:eastAsia="en-US"/>
          <w14:ligatures w14:val="standardContextual"/>
        </w:rPr>
        <w:t>72-81</w:t>
      </w:r>
      <w:proofErr w:type="gramEnd"/>
      <w:r w:rsidRPr="00FA3885">
        <w:rPr>
          <w:rFonts w:ascii="Times New Arabic" w:hAnsi="Times New Arabic" w:cs="Times New Roman"/>
          <w:color w:val="000000" w:themeColor="text1"/>
          <w:kern w:val="2"/>
          <w:sz w:val="24"/>
          <w:szCs w:val="24"/>
          <w:lang w:val="sv-SE" w:eastAsia="en-US"/>
          <w14:ligatures w14:val="standardContextual"/>
        </w:rPr>
        <w:t>. https://doi.org/10.56406/jkim.v11i01.503</w:t>
      </w:r>
    </w:p>
    <w:p w14:paraId="7E8E4615"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sv-SE" w:eastAsia="en-US"/>
          <w14:ligatures w14:val="standardContextual"/>
        </w:rPr>
      </w:pPr>
      <w:r w:rsidRPr="00FA3885">
        <w:rPr>
          <w:rFonts w:ascii="Times New Arabic" w:hAnsi="Times New Arabic" w:cs="Times New Roman"/>
          <w:color w:val="000000" w:themeColor="text1"/>
          <w:kern w:val="2"/>
          <w:sz w:val="24"/>
          <w:szCs w:val="24"/>
          <w:lang w:val="sv-SE" w:eastAsia="en-US"/>
          <w14:ligatures w14:val="standardContextual"/>
        </w:rPr>
        <w:t xml:space="preserve">Rahman, A. and Dalle, M. (2024). </w:t>
      </w:r>
      <w:r w:rsidRPr="00FA3885">
        <w:rPr>
          <w:rFonts w:ascii="Times New Arabic" w:hAnsi="Times New Arabic" w:cs="Times New Roman"/>
          <w:color w:val="000000" w:themeColor="text1"/>
          <w:kern w:val="2"/>
          <w:sz w:val="24"/>
          <w:szCs w:val="24"/>
          <w:lang w:val="nb-NO" w:eastAsia="en-US"/>
          <w14:ligatures w14:val="standardContextual"/>
        </w:rPr>
        <w:t xml:space="preserve">Kontekstualisasi tasyabbuh dalam fatwa mui tahun 2024 tentang salam lintas agama. </w:t>
      </w:r>
      <w:proofErr w:type="spellStart"/>
      <w:r w:rsidRPr="00FA3885">
        <w:rPr>
          <w:rFonts w:ascii="Times New Arabic" w:hAnsi="Times New Arabic" w:cs="Times New Roman"/>
          <w:color w:val="000000" w:themeColor="text1"/>
          <w:kern w:val="2"/>
          <w:sz w:val="24"/>
          <w:szCs w:val="24"/>
          <w:lang w:val="sv-SE" w:eastAsia="en-US"/>
          <w14:ligatures w14:val="standardContextual"/>
        </w:rPr>
        <w:t>Jurnal</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Kajian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Islam Modern, 11(01), </w:t>
      </w:r>
      <w:proofErr w:type="gramStart"/>
      <w:r w:rsidRPr="00FA3885">
        <w:rPr>
          <w:rFonts w:ascii="Times New Arabic" w:hAnsi="Times New Arabic" w:cs="Times New Roman"/>
          <w:color w:val="000000" w:themeColor="text1"/>
          <w:kern w:val="2"/>
          <w:sz w:val="24"/>
          <w:szCs w:val="24"/>
          <w:lang w:val="sv-SE" w:eastAsia="en-US"/>
          <w14:ligatures w14:val="standardContextual"/>
        </w:rPr>
        <w:t>72-81</w:t>
      </w:r>
      <w:proofErr w:type="gramEnd"/>
      <w:r w:rsidRPr="00FA3885">
        <w:rPr>
          <w:rFonts w:ascii="Times New Arabic" w:hAnsi="Times New Arabic" w:cs="Times New Roman"/>
          <w:color w:val="000000" w:themeColor="text1"/>
          <w:kern w:val="2"/>
          <w:sz w:val="24"/>
          <w:szCs w:val="24"/>
          <w:lang w:val="sv-SE" w:eastAsia="en-US"/>
          <w14:ligatures w14:val="standardContextual"/>
        </w:rPr>
        <w:t>. https://doi.org/10.56406/jkim.v11i01.503</w:t>
      </w:r>
    </w:p>
    <w:p w14:paraId="33237EB4"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proofErr w:type="spellStart"/>
      <w:r w:rsidRPr="00FA3885">
        <w:rPr>
          <w:rFonts w:ascii="Times New Arabic" w:hAnsi="Times New Arabic" w:cs="Times New Roman"/>
          <w:color w:val="000000" w:themeColor="text1"/>
          <w:kern w:val="2"/>
          <w:sz w:val="24"/>
          <w:szCs w:val="24"/>
          <w:lang w:val="sv-SE" w:eastAsia="en-US"/>
          <w14:ligatures w14:val="standardContextual"/>
        </w:rPr>
        <w:t>Rahmelia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S. (2020). </w:t>
      </w:r>
      <w:proofErr w:type="spellStart"/>
      <w:r w:rsidRPr="00FA3885">
        <w:rPr>
          <w:rFonts w:ascii="Times New Arabic" w:hAnsi="Times New Arabic" w:cs="Times New Roman"/>
          <w:color w:val="000000" w:themeColor="text1"/>
          <w:kern w:val="2"/>
          <w:sz w:val="24"/>
          <w:szCs w:val="24"/>
          <w:lang w:val="sv-SE" w:eastAsia="en-US"/>
          <w14:ligatures w14:val="standardContextual"/>
        </w:rPr>
        <w:t>Hubungan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kebermaknaan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hidup</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dan </w:t>
      </w:r>
      <w:proofErr w:type="spellStart"/>
      <w:r w:rsidRPr="00FA3885">
        <w:rPr>
          <w:rFonts w:ascii="Times New Arabic" w:hAnsi="Times New Arabic" w:cs="Times New Roman"/>
          <w:color w:val="000000" w:themeColor="text1"/>
          <w:kern w:val="2"/>
          <w:sz w:val="24"/>
          <w:szCs w:val="24"/>
          <w:lang w:val="sv-SE" w:eastAsia="en-US"/>
          <w14:ligatures w14:val="standardContextual"/>
        </w:rPr>
        <w:t>sikap</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toleransi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beragama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pada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siswa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sekolah</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menengah</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atas</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berbasis</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keagamaan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di </w:t>
      </w:r>
      <w:proofErr w:type="spellStart"/>
      <w:r w:rsidRPr="00FA3885">
        <w:rPr>
          <w:rFonts w:ascii="Times New Arabic" w:hAnsi="Times New Arabic" w:cs="Times New Roman"/>
          <w:color w:val="000000" w:themeColor="text1"/>
          <w:kern w:val="2"/>
          <w:sz w:val="24"/>
          <w:szCs w:val="24"/>
          <w:lang w:val="sv-SE" w:eastAsia="en-US"/>
          <w14:ligatures w14:val="standardContextual"/>
        </w:rPr>
        <w:t>palangka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raya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r w:rsidRPr="00FA3885">
        <w:rPr>
          <w:rFonts w:ascii="Times New Arabic" w:hAnsi="Times New Arabic" w:cs="Times New Roman"/>
          <w:color w:val="000000" w:themeColor="text1"/>
          <w:kern w:val="2"/>
          <w:sz w:val="24"/>
          <w:szCs w:val="24"/>
          <w:lang w:val="nb-NO" w:eastAsia="en-US"/>
          <w14:ligatures w14:val="standardContextual"/>
        </w:rPr>
        <w:t>Dialog, 43(1), 49-58. https://doi.org/10.47655/dialog.v43i1.345</w:t>
      </w:r>
    </w:p>
    <w:p w14:paraId="73C08898"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Salim, A. and Andani, A. (2020). Kerukunan umat beragama; relasi kuasa tokoh agama dengan masyarakat dalam internalisasi sikap toleransi di bantul, yogyakarta. Arfannur, 1(1), 1-14. https://doi.org/10.24260/arfannur.v1i1.139</w:t>
      </w:r>
    </w:p>
    <w:p w14:paraId="3C451AD1"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lastRenderedPageBreak/>
        <w:t>Saliro, S. (2019). Perspektif sosiologis terhadap toleransi antar umat beragama di kota singkawang. Khazanah Jurnal Studi Islam Dan Humaniora, 17(2), 283. https://doi.org/10.18592/khazanah.v17i2.3214</w:t>
      </w:r>
    </w:p>
    <w:p w14:paraId="42229779"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 xml:space="preserve">Saragih, E. and Abdurrahman, A. (2023). Endorse pakaian wanita pada kaum pria (tasyabbuh) dalam tinjauan etika bisnis islam (studi kasus selebgram pria di kota pontianak). </w:t>
      </w:r>
      <w:proofErr w:type="spellStart"/>
      <w:r w:rsidRPr="00FA3885">
        <w:rPr>
          <w:rFonts w:ascii="Times New Arabic" w:hAnsi="Times New Arabic" w:cs="Times New Roman"/>
          <w:color w:val="000000" w:themeColor="text1"/>
          <w:kern w:val="2"/>
          <w:sz w:val="24"/>
          <w:szCs w:val="24"/>
          <w:lang w:val="en-ID" w:eastAsia="en-US"/>
          <w14:ligatures w14:val="standardContextual"/>
        </w:rPr>
        <w:t>Tawazun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Journal of Sharia Economic Law, 5(2), 248. https://doi.org/10.21043/tawazun.v5i2.15425</w:t>
      </w:r>
    </w:p>
    <w:p w14:paraId="4419C4BD"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proofErr w:type="spellStart"/>
      <w:r w:rsidRPr="00FA3885">
        <w:rPr>
          <w:rFonts w:ascii="Times New Arabic" w:hAnsi="Times New Arabic" w:cs="Times New Roman"/>
          <w:color w:val="000000" w:themeColor="text1"/>
          <w:kern w:val="2"/>
          <w:sz w:val="24"/>
          <w:szCs w:val="24"/>
          <w:lang w:val="en-ID" w:eastAsia="en-US"/>
          <w14:ligatures w14:val="standardContextual"/>
        </w:rPr>
        <w:t>Saragih</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E. and Abdurrahman, A. (2023). </w:t>
      </w:r>
      <w:proofErr w:type="spellStart"/>
      <w:r w:rsidRPr="00FA3885">
        <w:rPr>
          <w:rFonts w:ascii="Times New Arabic" w:hAnsi="Times New Arabic" w:cs="Times New Roman"/>
          <w:color w:val="000000" w:themeColor="text1"/>
          <w:kern w:val="2"/>
          <w:sz w:val="24"/>
          <w:szCs w:val="24"/>
          <w:lang w:val="sv-SE" w:eastAsia="en-US"/>
          <w14:ligatures w14:val="standardContextual"/>
        </w:rPr>
        <w:t>Endorse</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pakaian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wanita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pada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kaum</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pria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tasyabbuh</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dalam</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tinjauan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etika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bisnis</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islam (</w:t>
      </w:r>
      <w:proofErr w:type="spellStart"/>
      <w:r w:rsidRPr="00FA3885">
        <w:rPr>
          <w:rFonts w:ascii="Times New Arabic" w:hAnsi="Times New Arabic" w:cs="Times New Roman"/>
          <w:color w:val="000000" w:themeColor="text1"/>
          <w:kern w:val="2"/>
          <w:sz w:val="24"/>
          <w:szCs w:val="24"/>
          <w:lang w:val="sv-SE" w:eastAsia="en-US"/>
          <w14:ligatures w14:val="standardContextual"/>
        </w:rPr>
        <w:t>studi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kasus </w:t>
      </w:r>
      <w:proofErr w:type="spellStart"/>
      <w:r w:rsidRPr="00FA3885">
        <w:rPr>
          <w:rFonts w:ascii="Times New Arabic" w:hAnsi="Times New Arabic" w:cs="Times New Roman"/>
          <w:color w:val="000000" w:themeColor="text1"/>
          <w:kern w:val="2"/>
          <w:sz w:val="24"/>
          <w:szCs w:val="24"/>
          <w:lang w:val="sv-SE" w:eastAsia="en-US"/>
          <w14:ligatures w14:val="standardContextual"/>
        </w:rPr>
        <w:t>selebgram</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pria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di kota </w:t>
      </w:r>
      <w:proofErr w:type="spellStart"/>
      <w:r w:rsidRPr="00FA3885">
        <w:rPr>
          <w:rFonts w:ascii="Times New Arabic" w:hAnsi="Times New Arabic" w:cs="Times New Roman"/>
          <w:color w:val="000000" w:themeColor="text1"/>
          <w:kern w:val="2"/>
          <w:sz w:val="24"/>
          <w:szCs w:val="24"/>
          <w:lang w:val="sv-SE" w:eastAsia="en-US"/>
          <w14:ligatures w14:val="standardContextual"/>
        </w:rPr>
        <w:t>pontianak</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en-ID" w:eastAsia="en-US"/>
          <w14:ligatures w14:val="standardContextual"/>
        </w:rPr>
        <w:t>Tawazun</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Journal of Sharia Economic Law, 5(2), 248. https://doi.org/10.21043/tawazun.v5i2.15425</w:t>
      </w:r>
    </w:p>
    <w:p w14:paraId="2B9D60F3"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sv-SE" w:eastAsia="en-US"/>
          <w14:ligatures w14:val="standardContextual"/>
        </w:rPr>
      </w:pPr>
      <w:proofErr w:type="spellStart"/>
      <w:r w:rsidRPr="00FA3885">
        <w:rPr>
          <w:rFonts w:ascii="Times New Arabic" w:hAnsi="Times New Arabic" w:cs="Times New Roman"/>
          <w:color w:val="000000" w:themeColor="text1"/>
          <w:kern w:val="2"/>
          <w:sz w:val="24"/>
          <w:szCs w:val="24"/>
          <w:lang w:val="sv-SE" w:eastAsia="en-US"/>
          <w14:ligatures w14:val="standardContextual"/>
        </w:rPr>
        <w:t>Setiadi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O. (2023). </w:t>
      </w:r>
      <w:proofErr w:type="spellStart"/>
      <w:r w:rsidRPr="00FA3885">
        <w:rPr>
          <w:rFonts w:ascii="Times New Arabic" w:hAnsi="Times New Arabic" w:cs="Times New Roman"/>
          <w:color w:val="000000" w:themeColor="text1"/>
          <w:kern w:val="2"/>
          <w:sz w:val="24"/>
          <w:szCs w:val="24"/>
          <w:lang w:val="sv-SE" w:eastAsia="en-US"/>
          <w14:ligatures w14:val="standardContextual"/>
        </w:rPr>
        <w:t>Sosialisasi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moderasi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beragama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bagi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siswa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di </w:t>
      </w:r>
      <w:proofErr w:type="spellStart"/>
      <w:r w:rsidRPr="00FA3885">
        <w:rPr>
          <w:rFonts w:ascii="Times New Arabic" w:hAnsi="Times New Arabic" w:cs="Times New Roman"/>
          <w:color w:val="000000" w:themeColor="text1"/>
          <w:kern w:val="2"/>
          <w:sz w:val="24"/>
          <w:szCs w:val="24"/>
          <w:lang w:val="sv-SE" w:eastAsia="en-US"/>
          <w14:ligatures w14:val="standardContextual"/>
        </w:rPr>
        <w:t>desa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rahtawu</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kecamatan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gebog</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kabupaten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kudus</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Jurnal</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Masyarakat</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w:t>
      </w:r>
      <w:proofErr w:type="spellStart"/>
      <w:r w:rsidRPr="00FA3885">
        <w:rPr>
          <w:rFonts w:ascii="Times New Arabic" w:hAnsi="Times New Arabic" w:cs="Times New Roman"/>
          <w:color w:val="000000" w:themeColor="text1"/>
          <w:kern w:val="2"/>
          <w:sz w:val="24"/>
          <w:szCs w:val="24"/>
          <w:lang w:val="sv-SE" w:eastAsia="en-US"/>
          <w14:ligatures w14:val="standardContextual"/>
        </w:rPr>
        <w:t>Madani</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Indonesia, 2(1), </w:t>
      </w:r>
      <w:proofErr w:type="gramStart"/>
      <w:r w:rsidRPr="00FA3885">
        <w:rPr>
          <w:rFonts w:ascii="Times New Arabic" w:hAnsi="Times New Arabic" w:cs="Times New Roman"/>
          <w:color w:val="000000" w:themeColor="text1"/>
          <w:kern w:val="2"/>
          <w:sz w:val="24"/>
          <w:szCs w:val="24"/>
          <w:lang w:val="sv-SE" w:eastAsia="en-US"/>
          <w14:ligatures w14:val="standardContextual"/>
        </w:rPr>
        <w:t>33-40</w:t>
      </w:r>
      <w:proofErr w:type="gramEnd"/>
      <w:r w:rsidRPr="00FA3885">
        <w:rPr>
          <w:rFonts w:ascii="Times New Arabic" w:hAnsi="Times New Arabic" w:cs="Times New Roman"/>
          <w:color w:val="000000" w:themeColor="text1"/>
          <w:kern w:val="2"/>
          <w:sz w:val="24"/>
          <w:szCs w:val="24"/>
          <w:lang w:val="sv-SE" w:eastAsia="en-US"/>
          <w14:ligatures w14:val="standardContextual"/>
        </w:rPr>
        <w:t>. https://doi.org/10.59025/js.v2i1.65</w:t>
      </w:r>
    </w:p>
    <w:p w14:paraId="4F9D1F65"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proofErr w:type="spellStart"/>
      <w:r w:rsidRPr="00FA3885">
        <w:rPr>
          <w:rFonts w:ascii="Times New Arabic" w:hAnsi="Times New Arabic" w:cs="Times New Roman"/>
          <w:color w:val="000000" w:themeColor="text1"/>
          <w:kern w:val="2"/>
          <w:sz w:val="24"/>
          <w:szCs w:val="24"/>
          <w:lang w:val="sv-SE" w:eastAsia="en-US"/>
          <w14:ligatures w14:val="standardContextual"/>
        </w:rPr>
        <w:t>Siswanto</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S., </w:t>
      </w:r>
      <w:proofErr w:type="spellStart"/>
      <w:r w:rsidRPr="00FA3885">
        <w:rPr>
          <w:rFonts w:ascii="Times New Arabic" w:hAnsi="Times New Arabic" w:cs="Times New Roman"/>
          <w:color w:val="000000" w:themeColor="text1"/>
          <w:kern w:val="2"/>
          <w:sz w:val="24"/>
          <w:szCs w:val="24"/>
          <w:lang w:val="sv-SE" w:eastAsia="en-US"/>
          <w14:ligatures w14:val="standardContextual"/>
        </w:rPr>
        <w:t>Aksa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A., </w:t>
      </w:r>
      <w:proofErr w:type="spellStart"/>
      <w:r w:rsidRPr="00FA3885">
        <w:rPr>
          <w:rFonts w:ascii="Times New Arabic" w:hAnsi="Times New Arabic" w:cs="Times New Roman"/>
          <w:color w:val="000000" w:themeColor="text1"/>
          <w:kern w:val="2"/>
          <w:sz w:val="24"/>
          <w:szCs w:val="24"/>
          <w:lang w:val="sv-SE" w:eastAsia="en-US"/>
          <w14:ligatures w14:val="standardContextual"/>
        </w:rPr>
        <w:t>Sahrudin</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M., &amp; </w:t>
      </w:r>
      <w:proofErr w:type="spellStart"/>
      <w:r w:rsidRPr="00FA3885">
        <w:rPr>
          <w:rFonts w:ascii="Times New Arabic" w:hAnsi="Times New Arabic" w:cs="Times New Roman"/>
          <w:color w:val="000000" w:themeColor="text1"/>
          <w:kern w:val="2"/>
          <w:sz w:val="24"/>
          <w:szCs w:val="24"/>
          <w:lang w:val="sv-SE" w:eastAsia="en-US"/>
          <w14:ligatures w14:val="standardContextual"/>
        </w:rPr>
        <w:t>Wafa</w:t>
      </w:r>
      <w:proofErr w:type="spellEnd"/>
      <w:r w:rsidRPr="00FA3885">
        <w:rPr>
          <w:rFonts w:ascii="Times New Arabic" w:hAnsi="Times New Arabic" w:cs="Times New Roman"/>
          <w:color w:val="000000" w:themeColor="text1"/>
          <w:kern w:val="2"/>
          <w:sz w:val="24"/>
          <w:szCs w:val="24"/>
          <w:lang w:val="sv-SE" w:eastAsia="en-US"/>
          <w14:ligatures w14:val="standardContextual"/>
        </w:rPr>
        <w:t xml:space="preserve">, M. (2024). </w:t>
      </w:r>
      <w:r w:rsidRPr="00FA3885">
        <w:rPr>
          <w:rFonts w:ascii="Times New Arabic" w:hAnsi="Times New Arabic" w:cs="Times New Roman"/>
          <w:color w:val="000000" w:themeColor="text1"/>
          <w:kern w:val="2"/>
          <w:sz w:val="24"/>
          <w:szCs w:val="24"/>
          <w:lang w:val="nb-NO" w:eastAsia="en-US"/>
          <w14:ligatures w14:val="standardContextual"/>
        </w:rPr>
        <w:t xml:space="preserve">Kampung moderasi beragama; merajut kerukunan umat beragama melalui modal sosial di desa tempur. </w:t>
      </w:r>
      <w:r w:rsidRPr="00FA3885">
        <w:rPr>
          <w:rFonts w:ascii="Times New Arabic" w:hAnsi="Times New Arabic" w:cs="Times New Roman"/>
          <w:color w:val="000000" w:themeColor="text1"/>
          <w:kern w:val="2"/>
          <w:sz w:val="24"/>
          <w:szCs w:val="24"/>
          <w:lang w:val="en-ID" w:eastAsia="en-US"/>
          <w14:ligatures w14:val="standardContextual"/>
        </w:rPr>
        <w:t>NAJWA, 2(1). https://doi.org/10.30762/najwa.v2i1.259</w:t>
      </w:r>
    </w:p>
    <w:p w14:paraId="59CA4CB7"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en-ID" w:eastAsia="en-US"/>
          <w14:ligatures w14:val="standardContextual"/>
        </w:rPr>
      </w:pPr>
      <w:r w:rsidRPr="00FA3885">
        <w:rPr>
          <w:rFonts w:ascii="Times New Arabic" w:hAnsi="Times New Arabic" w:cs="Times New Roman"/>
          <w:color w:val="000000" w:themeColor="text1"/>
          <w:kern w:val="2"/>
          <w:sz w:val="24"/>
          <w:szCs w:val="24"/>
          <w:lang w:val="en-ID" w:eastAsia="en-US"/>
          <w14:ligatures w14:val="standardContextual"/>
        </w:rPr>
        <w:t xml:space="preserve">Syaripudin, E. and </w:t>
      </w:r>
      <w:proofErr w:type="spellStart"/>
      <w:r w:rsidRPr="00FA3885">
        <w:rPr>
          <w:rFonts w:ascii="Times New Arabic" w:hAnsi="Times New Arabic" w:cs="Times New Roman"/>
          <w:color w:val="000000" w:themeColor="text1"/>
          <w:kern w:val="2"/>
          <w:sz w:val="24"/>
          <w:szCs w:val="24"/>
          <w:lang w:val="en-ID" w:eastAsia="en-US"/>
          <w14:ligatures w14:val="standardContextual"/>
        </w:rPr>
        <w:t>Nurjanah</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A. (2024). </w:t>
      </w:r>
      <w:r w:rsidRPr="00FA3885">
        <w:rPr>
          <w:rFonts w:ascii="Times New Arabic" w:hAnsi="Times New Arabic" w:cs="Times New Roman"/>
          <w:color w:val="000000" w:themeColor="text1"/>
          <w:kern w:val="2"/>
          <w:sz w:val="24"/>
          <w:szCs w:val="24"/>
          <w:lang w:val="nb-NO" w:eastAsia="en-US"/>
          <w14:ligatures w14:val="standardContextual"/>
        </w:rPr>
        <w:t xml:space="preserve">Perspektif hukum islam tentang memangkas rambut bagi wanita dengan meniru model artis terkenal. </w:t>
      </w:r>
      <w:r w:rsidRPr="00FA3885">
        <w:rPr>
          <w:rFonts w:ascii="Times New Arabic" w:hAnsi="Times New Arabic" w:cs="Times New Roman"/>
          <w:color w:val="000000" w:themeColor="text1"/>
          <w:kern w:val="2"/>
          <w:sz w:val="24"/>
          <w:szCs w:val="24"/>
          <w:lang w:val="en-ID" w:eastAsia="en-US"/>
          <w14:ligatures w14:val="standardContextual"/>
        </w:rPr>
        <w:t>JH, 3(1), 10-23. https://doi.org/10.37968/jhesy.v3i1.701</w:t>
      </w:r>
    </w:p>
    <w:p w14:paraId="40EDFF51"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proofErr w:type="spellStart"/>
      <w:r w:rsidRPr="00FA3885">
        <w:rPr>
          <w:rFonts w:ascii="Times New Arabic" w:hAnsi="Times New Arabic" w:cs="Times New Roman"/>
          <w:color w:val="000000" w:themeColor="text1"/>
          <w:kern w:val="2"/>
          <w:sz w:val="24"/>
          <w:szCs w:val="24"/>
          <w:lang w:val="en-ID" w:eastAsia="en-US"/>
          <w14:ligatures w14:val="standardContextual"/>
        </w:rPr>
        <w:t>Widiatmaka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P., Purwoko, A., &amp; </w:t>
      </w:r>
      <w:proofErr w:type="spellStart"/>
      <w:r w:rsidRPr="00FA3885">
        <w:rPr>
          <w:rFonts w:ascii="Times New Arabic" w:hAnsi="Times New Arabic" w:cs="Times New Roman"/>
          <w:color w:val="000000" w:themeColor="text1"/>
          <w:kern w:val="2"/>
          <w:sz w:val="24"/>
          <w:szCs w:val="24"/>
          <w:lang w:val="en-ID" w:eastAsia="en-US"/>
          <w14:ligatures w14:val="standardContextual"/>
        </w:rPr>
        <w:t>Shofa</w:t>
      </w:r>
      <w:proofErr w:type="spellEnd"/>
      <w:r w:rsidRPr="00FA3885">
        <w:rPr>
          <w:rFonts w:ascii="Times New Arabic" w:hAnsi="Times New Arabic" w:cs="Times New Roman"/>
          <w:color w:val="000000" w:themeColor="text1"/>
          <w:kern w:val="2"/>
          <w:sz w:val="24"/>
          <w:szCs w:val="24"/>
          <w:lang w:val="en-ID" w:eastAsia="en-US"/>
          <w14:ligatures w14:val="standardContextual"/>
        </w:rPr>
        <w:t xml:space="preserve">, A. (2022). </w:t>
      </w:r>
      <w:r w:rsidRPr="00FA3885">
        <w:rPr>
          <w:rFonts w:ascii="Times New Arabic" w:hAnsi="Times New Arabic" w:cs="Times New Roman"/>
          <w:color w:val="000000" w:themeColor="text1"/>
          <w:kern w:val="2"/>
          <w:sz w:val="24"/>
          <w:szCs w:val="24"/>
          <w:lang w:val="nb-NO" w:eastAsia="en-US"/>
          <w14:ligatures w14:val="standardContextual"/>
        </w:rPr>
        <w:t>Rumah radakng dan penanaman nilai toleransi di masyarakat adat dayak. Dialog, 45(1), 57-68. https://doi.org/10.47655/dialog.v45i1.584</w:t>
      </w:r>
    </w:p>
    <w:p w14:paraId="0568A36A" w14:textId="77777777" w:rsidR="00FA3885" w:rsidRPr="00FA3885" w:rsidRDefault="00FA3885" w:rsidP="003734C5">
      <w:pPr>
        <w:spacing w:line="240" w:lineRule="auto"/>
        <w:ind w:left="720" w:hanging="720"/>
        <w:jc w:val="both"/>
        <w:rPr>
          <w:rFonts w:ascii="Times New Arabic" w:hAnsi="Times New Arabic" w:cs="Times New Roman"/>
          <w:color w:val="000000" w:themeColor="text1"/>
          <w:kern w:val="2"/>
          <w:sz w:val="24"/>
          <w:szCs w:val="24"/>
          <w:lang w:val="nb-NO" w:eastAsia="en-US"/>
          <w14:ligatures w14:val="standardContextual"/>
        </w:rPr>
      </w:pPr>
      <w:r w:rsidRPr="00FA3885">
        <w:rPr>
          <w:rFonts w:ascii="Times New Arabic" w:hAnsi="Times New Arabic" w:cs="Times New Roman"/>
          <w:color w:val="000000" w:themeColor="text1"/>
          <w:kern w:val="2"/>
          <w:sz w:val="24"/>
          <w:szCs w:val="24"/>
          <w:lang w:val="nb-NO" w:eastAsia="en-US"/>
          <w14:ligatures w14:val="standardContextual"/>
        </w:rPr>
        <w:t>Yanti, D., Adde, E., Solihin, M., &amp; Armadila, A. (2023). Toleransi antar umat beragama perspektif al-quran. pawarta, 1(2), 98-109. https://doi.org/10.54090/pawarta.275</w:t>
      </w:r>
    </w:p>
    <w:p w14:paraId="21041C51" w14:textId="44A38C16" w:rsidR="00063F3B" w:rsidRPr="003734C5" w:rsidRDefault="00063F3B" w:rsidP="003734C5">
      <w:pPr>
        <w:spacing w:line="240" w:lineRule="auto"/>
        <w:rPr>
          <w:rFonts w:ascii="Times New Arabic" w:eastAsia="Times New Roman" w:hAnsi="Times New Arabic" w:cs="Times New Roman"/>
          <w:color w:val="000000" w:themeColor="text1"/>
          <w:sz w:val="24"/>
          <w:szCs w:val="24"/>
          <w:lang w:val="nb-NO" w:eastAsia="id-ID"/>
        </w:rPr>
      </w:pPr>
    </w:p>
    <w:sectPr w:rsidR="00063F3B" w:rsidRPr="003734C5" w:rsidSect="009C5EA9">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701" w:header="709" w:footer="709" w:gutter="0"/>
      <w:pgNumType w:start="114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D7A4" w14:textId="77777777" w:rsidR="00C73378" w:rsidRDefault="00C73378">
      <w:pPr>
        <w:spacing w:after="0" w:line="240" w:lineRule="auto"/>
      </w:pPr>
      <w:r>
        <w:separator/>
      </w:r>
    </w:p>
  </w:endnote>
  <w:endnote w:type="continuationSeparator" w:id="0">
    <w:p w14:paraId="20A5C62B" w14:textId="77777777" w:rsidR="00C73378" w:rsidRDefault="00C7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Arabic">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A8FF" w14:textId="160F0348" w:rsidR="00737012" w:rsidRPr="00F35661" w:rsidRDefault="00F35661" w:rsidP="000716AA">
    <w:pPr>
      <w:pBdr>
        <w:top w:val="nil"/>
        <w:left w:val="nil"/>
        <w:bottom w:val="nil"/>
        <w:right w:val="nil"/>
        <w:between w:val="nil"/>
      </w:pBdr>
      <w:tabs>
        <w:tab w:val="center" w:pos="4153"/>
        <w:tab w:val="right" w:pos="8306"/>
      </w:tabs>
      <w:spacing w:before="120" w:after="0" w:line="240" w:lineRule="auto"/>
      <w:jc w:val="right"/>
      <w:rPr>
        <w:rFonts w:cs="Calibri"/>
        <w:b/>
        <w:i/>
        <w:color w:val="000000"/>
      </w:rPr>
    </w:pPr>
    <w:proofErr w:type="spellStart"/>
    <w:r>
      <w:rPr>
        <w:rFonts w:cs="Calibri"/>
        <w:b/>
        <w:i/>
        <w:color w:val="000000"/>
        <w:sz w:val="20"/>
        <w:szCs w:val="20"/>
      </w:rPr>
      <w:t>Ta’wiluna</w:t>
    </w:r>
    <w:proofErr w:type="spellEnd"/>
    <w:r>
      <w:rPr>
        <w:rFonts w:cs="Calibri"/>
        <w:b/>
        <w:i/>
        <w:color w:val="000000"/>
        <w:sz w:val="20"/>
        <w:szCs w:val="20"/>
      </w:rPr>
      <w:t xml:space="preserve">: Jurnal Ilmu Al-Qur’an, Tafsir dan Pemikiran Islam, </w:t>
    </w:r>
    <w:r w:rsidR="000716AA" w:rsidRPr="000716AA">
      <w:rPr>
        <w:rFonts w:cs="Calibri"/>
        <w:b/>
        <w:i/>
        <w:iCs/>
        <w:color w:val="000000"/>
        <w:sz w:val="20"/>
        <w:szCs w:val="20"/>
      </w:rPr>
      <w:t>Vol. 6 No. 2 Agustus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1434" w14:textId="1A00A44B" w:rsidR="00737012" w:rsidRDefault="000756F2">
    <w:pPr>
      <w:pBdr>
        <w:top w:val="nil"/>
        <w:left w:val="nil"/>
        <w:bottom w:val="nil"/>
        <w:right w:val="nil"/>
        <w:between w:val="nil"/>
      </w:pBdr>
      <w:tabs>
        <w:tab w:val="center" w:pos="4153"/>
        <w:tab w:val="right" w:pos="8306"/>
      </w:tabs>
      <w:spacing w:before="120" w:after="0" w:line="240" w:lineRule="auto"/>
      <w:jc w:val="both"/>
      <w:rPr>
        <w:rFonts w:cs="Calibri"/>
        <w:b/>
        <w:i/>
        <w:color w:val="000000"/>
      </w:rPr>
    </w:pPr>
    <w:bookmarkStart w:id="1" w:name="_heading=h.tyjcwt" w:colFirst="0" w:colLast="0"/>
    <w:bookmarkEnd w:id="1"/>
    <w:proofErr w:type="spellStart"/>
    <w:r>
      <w:rPr>
        <w:rFonts w:cs="Calibri"/>
        <w:b/>
        <w:i/>
        <w:color w:val="000000"/>
        <w:sz w:val="20"/>
        <w:szCs w:val="20"/>
      </w:rPr>
      <w:t>Ta’wiluna</w:t>
    </w:r>
    <w:proofErr w:type="spellEnd"/>
    <w:r>
      <w:rPr>
        <w:rFonts w:cs="Calibri"/>
        <w:b/>
        <w:i/>
        <w:color w:val="000000"/>
        <w:sz w:val="20"/>
        <w:szCs w:val="20"/>
      </w:rPr>
      <w:t xml:space="preserve">: Jurnal Ilmu Al-Qur’an, Tafsir dan Pemikiran Islam, </w:t>
    </w:r>
    <w:r w:rsidR="000716AA" w:rsidRPr="00557854">
      <w:rPr>
        <w:rFonts w:cs="Calibri"/>
        <w:b/>
        <w:i/>
        <w:iCs/>
        <w:color w:val="000000"/>
        <w:sz w:val="20"/>
        <w:szCs w:val="20"/>
      </w:rPr>
      <w:t xml:space="preserve">Vol. </w:t>
    </w:r>
    <w:r w:rsidR="000716AA">
      <w:rPr>
        <w:rFonts w:cs="Calibri"/>
        <w:b/>
        <w:i/>
        <w:iCs/>
        <w:color w:val="000000"/>
        <w:sz w:val="20"/>
        <w:szCs w:val="20"/>
      </w:rPr>
      <w:t xml:space="preserve">6 </w:t>
    </w:r>
    <w:r w:rsidR="000716AA" w:rsidRPr="00557854">
      <w:rPr>
        <w:rFonts w:cs="Calibri"/>
        <w:b/>
        <w:i/>
        <w:iCs/>
        <w:color w:val="000000"/>
        <w:sz w:val="20"/>
        <w:szCs w:val="20"/>
      </w:rPr>
      <w:t>No.</w:t>
    </w:r>
    <w:r w:rsidR="000716AA">
      <w:rPr>
        <w:rFonts w:cs="Calibri"/>
        <w:b/>
        <w:i/>
        <w:iCs/>
        <w:color w:val="000000"/>
        <w:sz w:val="20"/>
        <w:szCs w:val="20"/>
      </w:rPr>
      <w:t xml:space="preserve"> 2</w:t>
    </w:r>
    <w:r w:rsidR="000716AA" w:rsidRPr="00557854">
      <w:rPr>
        <w:rFonts w:cs="Calibri"/>
        <w:b/>
        <w:i/>
        <w:iCs/>
        <w:color w:val="000000"/>
        <w:sz w:val="20"/>
        <w:szCs w:val="20"/>
      </w:rPr>
      <w:t xml:space="preserve"> </w:t>
    </w:r>
    <w:r w:rsidR="000716AA">
      <w:rPr>
        <w:rFonts w:cs="Calibri"/>
        <w:b/>
        <w:i/>
        <w:iCs/>
        <w:color w:val="000000"/>
        <w:sz w:val="20"/>
        <w:szCs w:val="20"/>
      </w:rPr>
      <w:t xml:space="preserve">Agustus </w:t>
    </w:r>
    <w:r w:rsidR="000716AA" w:rsidRPr="00557854">
      <w:rPr>
        <w:rFonts w:cs="Calibri"/>
        <w:b/>
        <w:i/>
        <w:iCs/>
        <w:color w:val="000000"/>
        <w:sz w:val="20"/>
        <w:szCs w:val="20"/>
      </w:rPr>
      <w:t>202</w:t>
    </w:r>
    <w:r w:rsidR="000716AA">
      <w:rPr>
        <w:rFonts w:cs="Calibri"/>
        <w:b/>
        <w:i/>
        <w:iCs/>
        <w:color w:val="000000"/>
        <w:sz w:val="20"/>
        <w:szCs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9BED" w14:textId="1770CC9C" w:rsidR="00737012" w:rsidRDefault="000756F2" w:rsidP="00734451">
    <w:pPr>
      <w:pBdr>
        <w:top w:val="nil"/>
        <w:left w:val="nil"/>
        <w:bottom w:val="nil"/>
        <w:right w:val="nil"/>
        <w:between w:val="nil"/>
      </w:pBdr>
      <w:tabs>
        <w:tab w:val="center" w:pos="4153"/>
        <w:tab w:val="right" w:pos="8306"/>
      </w:tabs>
      <w:spacing w:before="120" w:after="0" w:line="240" w:lineRule="auto"/>
      <w:rPr>
        <w:rFonts w:cs="Calibri"/>
        <w:b/>
        <w:color w:val="000000"/>
      </w:rPr>
    </w:pPr>
    <w:proofErr w:type="spellStart"/>
    <w:r>
      <w:rPr>
        <w:rFonts w:cs="Calibri"/>
        <w:b/>
        <w:i/>
        <w:color w:val="000000"/>
        <w:sz w:val="20"/>
        <w:szCs w:val="20"/>
      </w:rPr>
      <w:t>Ta’wiluna</w:t>
    </w:r>
    <w:proofErr w:type="spellEnd"/>
    <w:r>
      <w:rPr>
        <w:rFonts w:cs="Calibri"/>
        <w:b/>
        <w:i/>
        <w:color w:val="000000"/>
        <w:sz w:val="20"/>
        <w:szCs w:val="20"/>
      </w:rPr>
      <w:t>: Jurnal Ilmu Al-Qur’an, Tafsir dan Pemikiran Islam</w:t>
    </w:r>
    <w:r>
      <w:rPr>
        <w:rFonts w:cs="Calibri"/>
        <w:b/>
        <w:color w:val="000000"/>
        <w:sz w:val="20"/>
        <w:szCs w:val="20"/>
      </w:rPr>
      <w:t xml:space="preserve">, </w:t>
    </w:r>
    <w:bookmarkStart w:id="2" w:name="_Hlk202379072"/>
    <w:r w:rsidRPr="00557854">
      <w:rPr>
        <w:rFonts w:cs="Calibri"/>
        <w:b/>
        <w:i/>
        <w:iCs/>
        <w:color w:val="000000"/>
        <w:sz w:val="20"/>
        <w:szCs w:val="20"/>
      </w:rPr>
      <w:t xml:space="preserve">Vol. </w:t>
    </w:r>
    <w:r w:rsidR="00F35661">
      <w:rPr>
        <w:rFonts w:cs="Calibri"/>
        <w:b/>
        <w:i/>
        <w:iCs/>
        <w:color w:val="000000"/>
        <w:sz w:val="20"/>
        <w:szCs w:val="20"/>
      </w:rPr>
      <w:t>6</w:t>
    </w:r>
    <w:r w:rsidR="00003B42">
      <w:rPr>
        <w:rFonts w:cs="Calibri"/>
        <w:b/>
        <w:i/>
        <w:iCs/>
        <w:color w:val="000000"/>
        <w:sz w:val="20"/>
        <w:szCs w:val="20"/>
      </w:rPr>
      <w:t xml:space="preserve"> </w:t>
    </w:r>
    <w:r w:rsidRPr="00557854">
      <w:rPr>
        <w:rFonts w:cs="Calibri"/>
        <w:b/>
        <w:i/>
        <w:iCs/>
        <w:color w:val="000000"/>
        <w:sz w:val="20"/>
        <w:szCs w:val="20"/>
      </w:rPr>
      <w:t>No.</w:t>
    </w:r>
    <w:r w:rsidR="00003B42">
      <w:rPr>
        <w:rFonts w:cs="Calibri"/>
        <w:b/>
        <w:i/>
        <w:iCs/>
        <w:color w:val="000000"/>
        <w:sz w:val="20"/>
        <w:szCs w:val="20"/>
      </w:rPr>
      <w:t xml:space="preserve"> 2</w:t>
    </w:r>
    <w:r w:rsidRPr="00557854">
      <w:rPr>
        <w:rFonts w:cs="Calibri"/>
        <w:b/>
        <w:i/>
        <w:iCs/>
        <w:color w:val="000000"/>
        <w:sz w:val="20"/>
        <w:szCs w:val="20"/>
      </w:rPr>
      <w:t xml:space="preserve"> </w:t>
    </w:r>
    <w:r w:rsidR="00003B42">
      <w:rPr>
        <w:rFonts w:cs="Calibri"/>
        <w:b/>
        <w:i/>
        <w:iCs/>
        <w:color w:val="000000"/>
        <w:sz w:val="20"/>
        <w:szCs w:val="20"/>
      </w:rPr>
      <w:t xml:space="preserve">Agustus </w:t>
    </w:r>
    <w:r w:rsidRPr="00557854">
      <w:rPr>
        <w:rFonts w:cs="Calibri"/>
        <w:b/>
        <w:i/>
        <w:iCs/>
        <w:color w:val="000000"/>
        <w:sz w:val="20"/>
        <w:szCs w:val="20"/>
      </w:rPr>
      <w:t>202</w:t>
    </w:r>
    <w:r w:rsidR="00F35661">
      <w:rPr>
        <w:rFonts w:cs="Calibri"/>
        <w:b/>
        <w:i/>
        <w:iCs/>
        <w:color w:val="000000"/>
        <w:sz w:val="20"/>
        <w:szCs w:val="20"/>
      </w:rPr>
      <w:t>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FB87" w14:textId="77777777" w:rsidR="00C73378" w:rsidRDefault="00C73378">
      <w:pPr>
        <w:spacing w:after="0" w:line="240" w:lineRule="auto"/>
      </w:pPr>
      <w:r>
        <w:separator/>
      </w:r>
    </w:p>
  </w:footnote>
  <w:footnote w:type="continuationSeparator" w:id="0">
    <w:p w14:paraId="43A6344C" w14:textId="77777777" w:rsidR="00C73378" w:rsidRDefault="00C73378">
      <w:pPr>
        <w:spacing w:after="0" w:line="240" w:lineRule="auto"/>
      </w:pPr>
      <w:r>
        <w:continuationSeparator/>
      </w:r>
    </w:p>
  </w:footnote>
  <w:footnote w:id="1">
    <w:p w14:paraId="1A51DCF2"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t xml:space="preserve"> Ibn Taimiyyah, </w:t>
      </w:r>
      <w:proofErr w:type="spellStart"/>
      <w:r w:rsidRPr="00FA3885">
        <w:rPr>
          <w:i/>
          <w:iCs/>
        </w:rPr>
        <w:t>Iqtiḍā</w:t>
      </w:r>
      <w:proofErr w:type="spellEnd"/>
      <w:r w:rsidRPr="00FA3885">
        <w:rPr>
          <w:i/>
          <w:iCs/>
        </w:rPr>
        <w:t xml:space="preserve">’ </w:t>
      </w:r>
      <w:proofErr w:type="spellStart"/>
      <w:r w:rsidRPr="00FA3885">
        <w:rPr>
          <w:i/>
          <w:iCs/>
        </w:rPr>
        <w:t>aṣ-ṣirāṭ</w:t>
      </w:r>
      <w:proofErr w:type="spellEnd"/>
      <w:r w:rsidRPr="00FA3885">
        <w:rPr>
          <w:i/>
          <w:iCs/>
        </w:rPr>
        <w:t xml:space="preserve"> al-</w:t>
      </w:r>
      <w:proofErr w:type="spellStart"/>
      <w:r w:rsidRPr="00FA3885">
        <w:rPr>
          <w:i/>
          <w:iCs/>
        </w:rPr>
        <w:t>mustaqīm</w:t>
      </w:r>
      <w:proofErr w:type="spellEnd"/>
      <w:r w:rsidRPr="00FA3885">
        <w:rPr>
          <w:i/>
          <w:iCs/>
        </w:rPr>
        <w:t xml:space="preserve"> </w:t>
      </w:r>
      <w:proofErr w:type="spellStart"/>
      <w:r w:rsidRPr="00FA3885">
        <w:rPr>
          <w:i/>
          <w:iCs/>
        </w:rPr>
        <w:t>fī</w:t>
      </w:r>
      <w:proofErr w:type="spellEnd"/>
      <w:r w:rsidRPr="00FA3885">
        <w:rPr>
          <w:i/>
          <w:iCs/>
        </w:rPr>
        <w:t xml:space="preserve"> </w:t>
      </w:r>
      <w:proofErr w:type="spellStart"/>
      <w:r w:rsidRPr="00FA3885">
        <w:rPr>
          <w:i/>
          <w:iCs/>
        </w:rPr>
        <w:t>mukhālafat</w:t>
      </w:r>
      <w:proofErr w:type="spellEnd"/>
      <w:r w:rsidRPr="00FA3885">
        <w:rPr>
          <w:i/>
          <w:iCs/>
        </w:rPr>
        <w:t xml:space="preserve"> </w:t>
      </w:r>
      <w:proofErr w:type="spellStart"/>
      <w:r w:rsidRPr="00FA3885">
        <w:rPr>
          <w:i/>
          <w:iCs/>
        </w:rPr>
        <w:t>aṣḥāb</w:t>
      </w:r>
      <w:proofErr w:type="spellEnd"/>
      <w:r w:rsidRPr="00FA3885">
        <w:rPr>
          <w:i/>
          <w:iCs/>
        </w:rPr>
        <w:t xml:space="preserve"> al-</w:t>
      </w:r>
      <w:proofErr w:type="spellStart"/>
      <w:r w:rsidRPr="00FA3885">
        <w:rPr>
          <w:i/>
          <w:iCs/>
        </w:rPr>
        <w:t>jaḥīm</w:t>
      </w:r>
      <w:proofErr w:type="spellEnd"/>
      <w:r w:rsidRPr="00FA3885">
        <w:t xml:space="preserve">, (Beirut: </w:t>
      </w:r>
      <w:proofErr w:type="spellStart"/>
      <w:r w:rsidRPr="00FA3885">
        <w:t>Dār</w:t>
      </w:r>
      <w:proofErr w:type="spellEnd"/>
      <w:r w:rsidRPr="00FA3885">
        <w:t xml:space="preserve"> al-</w:t>
      </w:r>
      <w:proofErr w:type="spellStart"/>
      <w:r w:rsidRPr="00FA3885">
        <w:t>Kutub</w:t>
      </w:r>
      <w:proofErr w:type="spellEnd"/>
      <w:r w:rsidRPr="00FA3885">
        <w:t xml:space="preserve"> al</w:t>
      </w:r>
      <w:proofErr w:type="gramStart"/>
      <w:r w:rsidRPr="00FA3885">
        <w:t>-‘</w:t>
      </w:r>
      <w:proofErr w:type="spellStart"/>
      <w:proofErr w:type="gramEnd"/>
      <w:r w:rsidRPr="00FA3885">
        <w:t>Ilmiyyah</w:t>
      </w:r>
      <w:proofErr w:type="spellEnd"/>
      <w:r w:rsidRPr="00FA3885">
        <w:t xml:space="preserve">, 1993), </w:t>
      </w:r>
      <w:proofErr w:type="spellStart"/>
      <w:r w:rsidRPr="00FA3885">
        <w:t>hlm</w:t>
      </w:r>
      <w:proofErr w:type="spellEnd"/>
      <w:r w:rsidRPr="00FA3885">
        <w:t>. 82</w:t>
      </w:r>
    </w:p>
  </w:footnote>
  <w:footnote w:id="2">
    <w:p w14:paraId="5195F5AC"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Rahman, A., </w:t>
      </w:r>
      <w:proofErr w:type="spellStart"/>
      <w:r w:rsidRPr="00FA3885">
        <w:rPr>
          <w:lang w:val="sv-SE"/>
        </w:rPr>
        <w:t>dkk</w:t>
      </w:r>
      <w:proofErr w:type="spellEnd"/>
      <w:r w:rsidRPr="00FA3885">
        <w:rPr>
          <w:lang w:val="sv-SE"/>
        </w:rPr>
        <w:t xml:space="preserve">., “Fatwa MUI </w:t>
      </w:r>
      <w:proofErr w:type="spellStart"/>
      <w:r w:rsidRPr="00FA3885">
        <w:rPr>
          <w:lang w:val="sv-SE"/>
        </w:rPr>
        <w:t>tentang</w:t>
      </w:r>
      <w:proofErr w:type="spellEnd"/>
      <w:r w:rsidRPr="00FA3885">
        <w:rPr>
          <w:lang w:val="sv-SE"/>
        </w:rPr>
        <w:t xml:space="preserve"> </w:t>
      </w:r>
      <w:proofErr w:type="spellStart"/>
      <w:r w:rsidRPr="00FA3885">
        <w:rPr>
          <w:lang w:val="sv-SE"/>
        </w:rPr>
        <w:t>Salam</w:t>
      </w:r>
      <w:proofErr w:type="spellEnd"/>
      <w:r w:rsidRPr="00FA3885">
        <w:rPr>
          <w:lang w:val="sv-SE"/>
        </w:rPr>
        <w:t xml:space="preserve"> </w:t>
      </w:r>
      <w:proofErr w:type="spellStart"/>
      <w:r w:rsidRPr="00FA3885">
        <w:rPr>
          <w:lang w:val="sv-SE"/>
        </w:rPr>
        <w:t>Lintas</w:t>
      </w:r>
      <w:proofErr w:type="spellEnd"/>
      <w:r w:rsidRPr="00FA3885">
        <w:rPr>
          <w:lang w:val="sv-SE"/>
        </w:rPr>
        <w:t xml:space="preserve"> </w:t>
      </w:r>
      <w:proofErr w:type="spellStart"/>
      <w:r w:rsidRPr="00FA3885">
        <w:rPr>
          <w:lang w:val="sv-SE"/>
        </w:rPr>
        <w:t>Agama</w:t>
      </w:r>
      <w:proofErr w:type="spellEnd"/>
      <w:r w:rsidRPr="00FA3885">
        <w:rPr>
          <w:lang w:val="sv-SE"/>
        </w:rPr>
        <w:t xml:space="preserve"> dan </w:t>
      </w:r>
      <w:proofErr w:type="spellStart"/>
      <w:r w:rsidRPr="00FA3885">
        <w:rPr>
          <w:lang w:val="sv-SE"/>
        </w:rPr>
        <w:t>Implikasi</w:t>
      </w:r>
      <w:proofErr w:type="spellEnd"/>
      <w:r w:rsidRPr="00FA3885">
        <w:rPr>
          <w:lang w:val="sv-SE"/>
        </w:rPr>
        <w:t xml:space="preserve"> </w:t>
      </w:r>
      <w:proofErr w:type="spellStart"/>
      <w:r w:rsidRPr="00FA3885">
        <w:rPr>
          <w:lang w:val="sv-SE"/>
        </w:rPr>
        <w:t>Sosialnya</w:t>
      </w:r>
      <w:proofErr w:type="spellEnd"/>
      <w:r w:rsidRPr="00FA3885">
        <w:rPr>
          <w:lang w:val="sv-SE"/>
        </w:rPr>
        <w:t xml:space="preserve">,” </w:t>
      </w:r>
      <w:proofErr w:type="spellStart"/>
      <w:r w:rsidRPr="00FA3885">
        <w:rPr>
          <w:i/>
          <w:iCs/>
          <w:lang w:val="sv-SE"/>
        </w:rPr>
        <w:t>Jurnal</w:t>
      </w:r>
      <w:proofErr w:type="spellEnd"/>
      <w:r w:rsidRPr="00FA3885">
        <w:rPr>
          <w:i/>
          <w:iCs/>
          <w:lang w:val="sv-SE"/>
        </w:rPr>
        <w:t xml:space="preserve"> </w:t>
      </w:r>
      <w:proofErr w:type="spellStart"/>
      <w:r w:rsidRPr="00FA3885">
        <w:rPr>
          <w:i/>
          <w:iCs/>
          <w:lang w:val="sv-SE"/>
        </w:rPr>
        <w:t>Studi</w:t>
      </w:r>
      <w:proofErr w:type="spellEnd"/>
      <w:r w:rsidRPr="00FA3885">
        <w:rPr>
          <w:i/>
          <w:iCs/>
          <w:lang w:val="sv-SE"/>
        </w:rPr>
        <w:t xml:space="preserve"> Islam </w:t>
      </w:r>
      <w:proofErr w:type="spellStart"/>
      <w:r w:rsidRPr="00FA3885">
        <w:rPr>
          <w:i/>
          <w:iCs/>
          <w:lang w:val="sv-SE"/>
        </w:rPr>
        <w:t>Kontemporer</w:t>
      </w:r>
      <w:proofErr w:type="spellEnd"/>
      <w:r w:rsidRPr="00FA3885">
        <w:rPr>
          <w:lang w:val="sv-SE"/>
        </w:rPr>
        <w:t>, Vol. 12, No. 1 (2024): 45–62</w:t>
      </w:r>
    </w:p>
  </w:footnote>
  <w:footnote w:id="3">
    <w:p w14:paraId="00FEA573"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Saragih, D. &amp; Abdurrahman, M., “Etika Tasyabbuh dalam Perspektif Identitas Gender,” </w:t>
      </w:r>
      <w:r w:rsidRPr="00FA3885">
        <w:rPr>
          <w:i/>
          <w:iCs/>
          <w:lang w:val="nb-NO"/>
        </w:rPr>
        <w:t>Al-Munir: Jurnal Kajian Keislaman</w:t>
      </w:r>
      <w:r w:rsidRPr="00FA3885">
        <w:rPr>
          <w:lang w:val="nb-NO"/>
        </w:rPr>
        <w:t>, Vol. 14, No. 2 (2023): 77–95</w:t>
      </w:r>
    </w:p>
  </w:footnote>
  <w:footnote w:id="4">
    <w:p w14:paraId="441DD7B6"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w:t>
      </w:r>
      <w:proofErr w:type="spellStart"/>
      <w:r w:rsidRPr="00FA3885">
        <w:rPr>
          <w:lang w:val="sv-SE"/>
        </w:rPr>
        <w:t>Fathony</w:t>
      </w:r>
      <w:proofErr w:type="spellEnd"/>
      <w:r w:rsidRPr="00FA3885">
        <w:rPr>
          <w:lang w:val="sv-SE"/>
        </w:rPr>
        <w:t xml:space="preserve">, M., </w:t>
      </w:r>
      <w:proofErr w:type="spellStart"/>
      <w:r w:rsidRPr="00FA3885">
        <w:rPr>
          <w:lang w:val="sv-SE"/>
        </w:rPr>
        <w:t>dkk</w:t>
      </w:r>
      <w:proofErr w:type="spellEnd"/>
      <w:r w:rsidRPr="00FA3885">
        <w:rPr>
          <w:lang w:val="sv-SE"/>
        </w:rPr>
        <w:t xml:space="preserve">., “Islam, </w:t>
      </w:r>
      <w:proofErr w:type="spellStart"/>
      <w:r w:rsidRPr="00FA3885">
        <w:rPr>
          <w:lang w:val="sv-SE"/>
        </w:rPr>
        <w:t>Multikulturalisme</w:t>
      </w:r>
      <w:proofErr w:type="spellEnd"/>
      <w:r w:rsidRPr="00FA3885">
        <w:rPr>
          <w:lang w:val="sv-SE"/>
        </w:rPr>
        <w:t xml:space="preserve">, dan </w:t>
      </w:r>
      <w:proofErr w:type="spellStart"/>
      <w:r w:rsidRPr="00FA3885">
        <w:rPr>
          <w:lang w:val="sv-SE"/>
        </w:rPr>
        <w:t>Pendidikan</w:t>
      </w:r>
      <w:proofErr w:type="spellEnd"/>
      <w:r w:rsidRPr="00FA3885">
        <w:rPr>
          <w:lang w:val="sv-SE"/>
        </w:rPr>
        <w:t xml:space="preserve"> </w:t>
      </w:r>
      <w:proofErr w:type="spellStart"/>
      <w:r w:rsidRPr="00FA3885">
        <w:rPr>
          <w:lang w:val="sv-SE"/>
        </w:rPr>
        <w:t>Lintas</w:t>
      </w:r>
      <w:proofErr w:type="spellEnd"/>
      <w:r w:rsidRPr="00FA3885">
        <w:rPr>
          <w:lang w:val="sv-SE"/>
        </w:rPr>
        <w:t xml:space="preserve"> </w:t>
      </w:r>
      <w:proofErr w:type="spellStart"/>
      <w:r w:rsidRPr="00FA3885">
        <w:rPr>
          <w:lang w:val="sv-SE"/>
        </w:rPr>
        <w:t>Iman</w:t>
      </w:r>
      <w:proofErr w:type="spellEnd"/>
      <w:r w:rsidRPr="00FA3885">
        <w:rPr>
          <w:lang w:val="sv-SE"/>
        </w:rPr>
        <w:t xml:space="preserve">,” </w:t>
      </w:r>
      <w:proofErr w:type="spellStart"/>
      <w:r w:rsidRPr="00FA3885">
        <w:rPr>
          <w:i/>
          <w:iCs/>
          <w:lang w:val="sv-SE"/>
        </w:rPr>
        <w:t>Jurnal</w:t>
      </w:r>
      <w:proofErr w:type="spellEnd"/>
      <w:r w:rsidRPr="00FA3885">
        <w:rPr>
          <w:i/>
          <w:iCs/>
          <w:lang w:val="sv-SE"/>
        </w:rPr>
        <w:t xml:space="preserve"> </w:t>
      </w:r>
      <w:proofErr w:type="spellStart"/>
      <w:r w:rsidRPr="00FA3885">
        <w:rPr>
          <w:i/>
          <w:iCs/>
          <w:lang w:val="sv-SE"/>
        </w:rPr>
        <w:t>Pendidikan</w:t>
      </w:r>
      <w:proofErr w:type="spellEnd"/>
      <w:r w:rsidRPr="00FA3885">
        <w:rPr>
          <w:i/>
          <w:iCs/>
          <w:lang w:val="sv-SE"/>
        </w:rPr>
        <w:t xml:space="preserve"> </w:t>
      </w:r>
      <w:proofErr w:type="spellStart"/>
      <w:r w:rsidRPr="00FA3885">
        <w:rPr>
          <w:i/>
          <w:iCs/>
          <w:lang w:val="sv-SE"/>
        </w:rPr>
        <w:t>Agama</w:t>
      </w:r>
      <w:proofErr w:type="spellEnd"/>
      <w:r w:rsidRPr="00FA3885">
        <w:rPr>
          <w:i/>
          <w:iCs/>
          <w:lang w:val="sv-SE"/>
        </w:rPr>
        <w:t xml:space="preserve"> Islam</w:t>
      </w:r>
      <w:r w:rsidRPr="00FA3885">
        <w:rPr>
          <w:lang w:val="sv-SE"/>
        </w:rPr>
        <w:t>, Vol. 11, No. 1 (2023): 15–32</w:t>
      </w:r>
    </w:p>
  </w:footnote>
  <w:footnote w:id="5">
    <w:p w14:paraId="47E93E07"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Panuntun, R. &amp; Aziz, F., “Toleransi dan Kerja Sama Antar Umat Beragama dalam Perspektif Islam,” </w:t>
      </w:r>
      <w:r w:rsidRPr="00FA3885">
        <w:rPr>
          <w:i/>
          <w:iCs/>
          <w:lang w:val="nb-NO"/>
        </w:rPr>
        <w:t>Jurnal Sosial Keagamaan</w:t>
      </w:r>
      <w:r w:rsidRPr="00FA3885">
        <w:rPr>
          <w:lang w:val="nb-NO"/>
        </w:rPr>
        <w:t>, Vol. 8, No. 2 (2023): 201–219.</w:t>
      </w:r>
    </w:p>
  </w:footnote>
  <w:footnote w:id="6">
    <w:p w14:paraId="59FD80D6"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Marbun, </w:t>
      </w:r>
      <w:r w:rsidRPr="00FA3885">
        <w:rPr>
          <w:lang w:val="nb-NO"/>
        </w:rPr>
        <w:t xml:space="preserve">J., “Hadis sebagai Fondasi Harmoni Sosial dalam Masyarakat Majemuk,” </w:t>
      </w:r>
      <w:r w:rsidRPr="00FA3885">
        <w:rPr>
          <w:i/>
          <w:iCs/>
          <w:lang w:val="nb-NO"/>
        </w:rPr>
        <w:t>Jurnal Living Hadis</w:t>
      </w:r>
      <w:r w:rsidRPr="00FA3885">
        <w:rPr>
          <w:lang w:val="nb-NO"/>
        </w:rPr>
        <w:t>, Vol. 5, No. 1 (2023): 55–70.</w:t>
      </w:r>
    </w:p>
  </w:footnote>
  <w:footnote w:id="7">
    <w:p w14:paraId="6D4479F7"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Yusuf </w:t>
      </w:r>
      <w:r w:rsidRPr="00FA3885">
        <w:rPr>
          <w:lang w:val="nb-NO"/>
        </w:rPr>
        <w:t xml:space="preserve">al-Qaradawi, </w:t>
      </w:r>
      <w:r w:rsidRPr="00FA3885">
        <w:rPr>
          <w:i/>
          <w:iCs/>
          <w:lang w:val="nb-NO"/>
        </w:rPr>
        <w:t>Fiqh al-Awlawiyyāt: Dirāsah Jadīdah fī Ḍaw’ al-Qur’ān wa as-Sunnah</w:t>
      </w:r>
      <w:r w:rsidRPr="00FA3885">
        <w:rPr>
          <w:lang w:val="nb-NO"/>
        </w:rPr>
        <w:t xml:space="preserve"> (Kairo: Maktabah Wahbah, 1995), hlm. 45</w:t>
      </w:r>
    </w:p>
  </w:footnote>
  <w:footnote w:id="8">
    <w:p w14:paraId="7707EBF8"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Syamsul </w:t>
      </w:r>
      <w:r w:rsidRPr="00FA3885">
        <w:rPr>
          <w:lang w:val="nb-NO"/>
        </w:rPr>
        <w:t xml:space="preserve">Maarif, </w:t>
      </w:r>
      <w:r w:rsidRPr="00FA3885">
        <w:rPr>
          <w:i/>
          <w:iCs/>
          <w:lang w:val="nb-NO"/>
        </w:rPr>
        <w:t>Pasang Surut Politik Kepercayaan: Pergulatan Negara, Agama, dan Adat di Indonesia</w:t>
      </w:r>
      <w:r w:rsidRPr="00FA3885">
        <w:rPr>
          <w:lang w:val="nb-NO"/>
        </w:rPr>
        <w:t xml:space="preserve"> (Yogyakarta: Ombak, 2020), hlm. 214</w:t>
      </w:r>
    </w:p>
  </w:footnote>
  <w:footnote w:id="9">
    <w:p w14:paraId="05F47106"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Syaripudin, </w:t>
      </w:r>
      <w:r w:rsidRPr="00FA3885">
        <w:rPr>
          <w:lang w:val="nb-NO"/>
        </w:rPr>
        <w:t xml:space="preserve">A. &amp; Nurjanah, S., “Kontekstualisasi Norma Agama dalam Praktik Sosial Keagamaan,” </w:t>
      </w:r>
      <w:r w:rsidRPr="00FA3885">
        <w:rPr>
          <w:i/>
          <w:iCs/>
          <w:lang w:val="nb-NO"/>
        </w:rPr>
        <w:t>Jurnal Sosiologi Agama</w:t>
      </w:r>
      <w:r w:rsidRPr="00FA3885">
        <w:rPr>
          <w:lang w:val="nb-NO"/>
        </w:rPr>
        <w:t>, Vol. 18, No. 1 (2024): 33–51</w:t>
      </w:r>
    </w:p>
  </w:footnote>
  <w:footnote w:id="10">
    <w:p w14:paraId="0DA0A443"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Fadliah, </w:t>
      </w:r>
      <w:r w:rsidRPr="00FA3885">
        <w:rPr>
          <w:lang w:val="nb-NO"/>
        </w:rPr>
        <w:t xml:space="preserve">N., “Toleransi dalam Perspektif Islam Rahmatan lil ‘Alamin,” </w:t>
      </w:r>
      <w:r w:rsidRPr="00FA3885">
        <w:rPr>
          <w:i/>
          <w:iCs/>
          <w:lang w:val="nb-NO"/>
        </w:rPr>
        <w:t>Jurnal Dakwah dan Komunikasi Islam</w:t>
      </w:r>
      <w:r w:rsidRPr="00FA3885">
        <w:rPr>
          <w:lang w:val="nb-NO"/>
        </w:rPr>
        <w:t xml:space="preserve">, Vol. 10, No. 2 (2022): 121–138; </w:t>
      </w:r>
    </w:p>
  </w:footnote>
  <w:footnote w:id="11">
    <w:p w14:paraId="66CA50D7"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w:t>
      </w:r>
      <w:r w:rsidRPr="00FA3885">
        <w:rPr>
          <w:lang w:val="nb-NO"/>
        </w:rPr>
        <w:t xml:space="preserve">Yanti, </w:t>
      </w:r>
      <w:r w:rsidRPr="00FA3885">
        <w:rPr>
          <w:lang w:val="nb-NO"/>
        </w:rPr>
        <w:t xml:space="preserve">R., dkk., “Toleransi Antarumat Beragama dalam Perspektif Masyarakat Multikultural,” </w:t>
      </w:r>
      <w:r w:rsidRPr="00FA3885">
        <w:rPr>
          <w:i/>
          <w:iCs/>
          <w:lang w:val="nb-NO"/>
        </w:rPr>
        <w:t>Al-Adyan: Jurnal Studi Lintas Agama</w:t>
      </w:r>
      <w:r w:rsidRPr="00FA3885">
        <w:rPr>
          <w:lang w:val="nb-NO"/>
        </w:rPr>
        <w:t>, Vol. 15, No. 1 (2023): 59–76</w:t>
      </w:r>
    </w:p>
  </w:footnote>
  <w:footnote w:id="12">
    <w:p w14:paraId="7A8C3247"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nb-NO"/>
        </w:rPr>
        <w:t xml:space="preserve"> </w:t>
      </w:r>
      <w:r w:rsidRPr="00FA3885">
        <w:rPr>
          <w:lang w:val="nb-NO"/>
        </w:rPr>
        <w:t xml:space="preserve">Afriani, </w:t>
      </w:r>
      <w:r w:rsidRPr="00FA3885">
        <w:rPr>
          <w:lang w:val="nb-NO"/>
        </w:rPr>
        <w:t xml:space="preserve">L., dkk., “Implementasi Toleransi dalam Kehidupan Sosial Keagamaan,” </w:t>
      </w:r>
      <w:r w:rsidRPr="00FA3885">
        <w:rPr>
          <w:i/>
          <w:iCs/>
          <w:lang w:val="nb-NO"/>
        </w:rPr>
        <w:t>Jurnal Pendidikan Islam</w:t>
      </w:r>
      <w:r w:rsidRPr="00FA3885">
        <w:rPr>
          <w:lang w:val="nb-NO"/>
        </w:rPr>
        <w:t>, Vol. 7, No. 2 (2023): 201–218.</w:t>
      </w:r>
    </w:p>
  </w:footnote>
  <w:footnote w:id="13">
    <w:p w14:paraId="6F71B664"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Salim, H. &amp; </w:t>
      </w:r>
      <w:proofErr w:type="spellStart"/>
      <w:r w:rsidRPr="00FA3885">
        <w:rPr>
          <w:lang w:val="sv-SE"/>
        </w:rPr>
        <w:t>Andani</w:t>
      </w:r>
      <w:proofErr w:type="spellEnd"/>
      <w:r w:rsidRPr="00FA3885">
        <w:rPr>
          <w:lang w:val="sv-SE"/>
        </w:rPr>
        <w:t>, R., “</w:t>
      </w:r>
      <w:proofErr w:type="spellStart"/>
      <w:r w:rsidRPr="00FA3885">
        <w:rPr>
          <w:lang w:val="sv-SE"/>
        </w:rPr>
        <w:t>Peran</w:t>
      </w:r>
      <w:proofErr w:type="spellEnd"/>
      <w:r w:rsidRPr="00FA3885">
        <w:rPr>
          <w:lang w:val="sv-SE"/>
        </w:rPr>
        <w:t xml:space="preserve"> </w:t>
      </w:r>
      <w:proofErr w:type="spellStart"/>
      <w:r w:rsidRPr="00FA3885">
        <w:rPr>
          <w:lang w:val="sv-SE"/>
        </w:rPr>
        <w:t>Tokoh</w:t>
      </w:r>
      <w:proofErr w:type="spellEnd"/>
      <w:r w:rsidRPr="00FA3885">
        <w:rPr>
          <w:lang w:val="sv-SE"/>
        </w:rPr>
        <w:t xml:space="preserve"> </w:t>
      </w:r>
      <w:proofErr w:type="spellStart"/>
      <w:r w:rsidRPr="00FA3885">
        <w:rPr>
          <w:lang w:val="sv-SE"/>
        </w:rPr>
        <w:t>Agama</w:t>
      </w:r>
      <w:proofErr w:type="spellEnd"/>
      <w:r w:rsidRPr="00FA3885">
        <w:rPr>
          <w:lang w:val="sv-SE"/>
        </w:rPr>
        <w:t xml:space="preserve"> </w:t>
      </w:r>
      <w:proofErr w:type="spellStart"/>
      <w:r w:rsidRPr="00FA3885">
        <w:rPr>
          <w:lang w:val="sv-SE"/>
        </w:rPr>
        <w:t>dalam</w:t>
      </w:r>
      <w:proofErr w:type="spellEnd"/>
      <w:r w:rsidRPr="00FA3885">
        <w:rPr>
          <w:lang w:val="sv-SE"/>
        </w:rPr>
        <w:t xml:space="preserve"> </w:t>
      </w:r>
      <w:proofErr w:type="spellStart"/>
      <w:r w:rsidRPr="00FA3885">
        <w:rPr>
          <w:lang w:val="sv-SE"/>
        </w:rPr>
        <w:t>Membangun</w:t>
      </w:r>
      <w:proofErr w:type="spellEnd"/>
      <w:r w:rsidRPr="00FA3885">
        <w:rPr>
          <w:lang w:val="sv-SE"/>
        </w:rPr>
        <w:t xml:space="preserve"> </w:t>
      </w:r>
      <w:proofErr w:type="spellStart"/>
      <w:r w:rsidRPr="00FA3885">
        <w:rPr>
          <w:lang w:val="sv-SE"/>
        </w:rPr>
        <w:t>Moderasi</w:t>
      </w:r>
      <w:proofErr w:type="spellEnd"/>
      <w:r w:rsidRPr="00FA3885">
        <w:rPr>
          <w:lang w:val="sv-SE"/>
        </w:rPr>
        <w:t xml:space="preserve"> </w:t>
      </w:r>
      <w:proofErr w:type="spellStart"/>
      <w:r w:rsidRPr="00FA3885">
        <w:rPr>
          <w:lang w:val="sv-SE"/>
        </w:rPr>
        <w:t>Beragama</w:t>
      </w:r>
      <w:proofErr w:type="spellEnd"/>
      <w:r w:rsidRPr="00FA3885">
        <w:rPr>
          <w:lang w:val="sv-SE"/>
        </w:rPr>
        <w:t xml:space="preserve">,” </w:t>
      </w:r>
      <w:proofErr w:type="spellStart"/>
      <w:r w:rsidRPr="00FA3885">
        <w:rPr>
          <w:i/>
          <w:iCs/>
          <w:lang w:val="sv-SE"/>
        </w:rPr>
        <w:t>Jurnal</w:t>
      </w:r>
      <w:proofErr w:type="spellEnd"/>
      <w:r w:rsidRPr="00FA3885">
        <w:rPr>
          <w:i/>
          <w:iCs/>
          <w:lang w:val="sv-SE"/>
        </w:rPr>
        <w:t xml:space="preserve"> </w:t>
      </w:r>
      <w:proofErr w:type="spellStart"/>
      <w:r w:rsidRPr="00FA3885">
        <w:rPr>
          <w:i/>
          <w:iCs/>
          <w:lang w:val="sv-SE"/>
        </w:rPr>
        <w:t>Moderasi</w:t>
      </w:r>
      <w:proofErr w:type="spellEnd"/>
      <w:r w:rsidRPr="00FA3885">
        <w:rPr>
          <w:i/>
          <w:iCs/>
          <w:lang w:val="sv-SE"/>
        </w:rPr>
        <w:t xml:space="preserve"> Islam</w:t>
      </w:r>
      <w:r w:rsidRPr="00FA3885">
        <w:rPr>
          <w:lang w:val="sv-SE"/>
        </w:rPr>
        <w:t>, Vol. 2, No. 1 (2020): 89–104;</w:t>
      </w:r>
    </w:p>
  </w:footnote>
  <w:footnote w:id="14">
    <w:p w14:paraId="786F0A0B"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Effendi, A., “Institusi Keagamaan dan Tantangan Toleransi di Indonesia,” </w:t>
      </w:r>
      <w:r w:rsidRPr="00FA3885">
        <w:rPr>
          <w:i/>
          <w:iCs/>
          <w:lang w:val="nb-NO"/>
        </w:rPr>
        <w:t>Jurnal Sosial Keagamaan</w:t>
      </w:r>
      <w:r w:rsidRPr="00FA3885">
        <w:rPr>
          <w:lang w:val="nb-NO"/>
        </w:rPr>
        <w:t>, Vol. 12, No. 2 (2023): 145–163.</w:t>
      </w:r>
    </w:p>
  </w:footnote>
  <w:footnote w:id="15">
    <w:p w14:paraId="56E1419B"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id-ID"/>
        </w:rPr>
        <w:t xml:space="preserve"> </w:t>
      </w:r>
      <w:proofErr w:type="spellStart"/>
      <w:r w:rsidRPr="00FA3885">
        <w:rPr>
          <w:lang w:val="id-ID"/>
        </w:rPr>
        <w:t>Evimalinda</w:t>
      </w:r>
      <w:proofErr w:type="spellEnd"/>
      <w:r w:rsidRPr="00FA3885">
        <w:rPr>
          <w:lang w:val="id-ID"/>
        </w:rPr>
        <w:t xml:space="preserve">, E., dkk., “Metodologi Penelitian Kualitatif dalam Studi Agama,” </w:t>
      </w:r>
      <w:r w:rsidRPr="00FA3885">
        <w:rPr>
          <w:i/>
          <w:iCs/>
          <w:lang w:val="id-ID"/>
        </w:rPr>
        <w:t>Jurnal Penelitian Keislaman</w:t>
      </w:r>
      <w:r w:rsidRPr="00FA3885">
        <w:rPr>
          <w:lang w:val="id-ID"/>
        </w:rPr>
        <w:t>, Vol. 9, No. 2 (2023): 155–170</w:t>
      </w:r>
    </w:p>
  </w:footnote>
  <w:footnote w:id="16">
    <w:p w14:paraId="1A9EA9A8"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id-ID"/>
        </w:rPr>
        <w:t xml:space="preserve"> </w:t>
      </w:r>
      <w:r w:rsidRPr="00FA3885">
        <w:rPr>
          <w:lang w:val="id-ID"/>
        </w:rPr>
        <w:t xml:space="preserve">Abu Dawud, </w:t>
      </w:r>
      <w:r w:rsidRPr="00FA3885">
        <w:rPr>
          <w:i/>
          <w:iCs/>
          <w:lang w:val="id-ID"/>
        </w:rPr>
        <w:t xml:space="preserve">Sunan </w:t>
      </w:r>
      <w:proofErr w:type="spellStart"/>
      <w:r w:rsidRPr="00FA3885">
        <w:rPr>
          <w:i/>
          <w:iCs/>
          <w:lang w:val="id-ID"/>
        </w:rPr>
        <w:t>Abī</w:t>
      </w:r>
      <w:proofErr w:type="spellEnd"/>
      <w:r w:rsidRPr="00FA3885">
        <w:rPr>
          <w:i/>
          <w:iCs/>
          <w:lang w:val="id-ID"/>
        </w:rPr>
        <w:t xml:space="preserve"> </w:t>
      </w:r>
      <w:proofErr w:type="spellStart"/>
      <w:r w:rsidRPr="00FA3885">
        <w:rPr>
          <w:i/>
          <w:iCs/>
          <w:lang w:val="id-ID"/>
        </w:rPr>
        <w:t>Dāwūd</w:t>
      </w:r>
      <w:proofErr w:type="spellEnd"/>
      <w:r w:rsidRPr="00FA3885">
        <w:rPr>
          <w:lang w:val="id-ID"/>
        </w:rPr>
        <w:t xml:space="preserve">, </w:t>
      </w:r>
      <w:proofErr w:type="spellStart"/>
      <w:r w:rsidRPr="00FA3885">
        <w:rPr>
          <w:lang w:val="id-ID"/>
        </w:rPr>
        <w:t>Kitāb</w:t>
      </w:r>
      <w:proofErr w:type="spellEnd"/>
      <w:r w:rsidRPr="00FA3885">
        <w:rPr>
          <w:lang w:val="id-ID"/>
        </w:rPr>
        <w:t xml:space="preserve"> </w:t>
      </w:r>
      <w:proofErr w:type="spellStart"/>
      <w:r w:rsidRPr="00FA3885">
        <w:rPr>
          <w:lang w:val="id-ID"/>
        </w:rPr>
        <w:t>al-Libās</w:t>
      </w:r>
      <w:proofErr w:type="spellEnd"/>
      <w:r w:rsidRPr="00FA3885">
        <w:rPr>
          <w:lang w:val="id-ID"/>
        </w:rPr>
        <w:t xml:space="preserve">, no. hadis 4031 (Beirut: </w:t>
      </w:r>
      <w:proofErr w:type="spellStart"/>
      <w:r w:rsidRPr="00FA3885">
        <w:rPr>
          <w:lang w:val="id-ID"/>
        </w:rPr>
        <w:t>Dār</w:t>
      </w:r>
      <w:proofErr w:type="spellEnd"/>
      <w:r w:rsidRPr="00FA3885">
        <w:rPr>
          <w:lang w:val="id-ID"/>
        </w:rPr>
        <w:t xml:space="preserve"> </w:t>
      </w:r>
      <w:proofErr w:type="spellStart"/>
      <w:r w:rsidRPr="00FA3885">
        <w:rPr>
          <w:lang w:val="id-ID"/>
        </w:rPr>
        <w:t>al</w:t>
      </w:r>
      <w:proofErr w:type="spellEnd"/>
      <w:r w:rsidRPr="00FA3885">
        <w:rPr>
          <w:lang w:val="id-ID"/>
        </w:rPr>
        <w:t xml:space="preserve">-Kutub </w:t>
      </w:r>
      <w:proofErr w:type="spellStart"/>
      <w:r w:rsidRPr="00FA3885">
        <w:rPr>
          <w:lang w:val="id-ID"/>
        </w:rPr>
        <w:t>al</w:t>
      </w:r>
      <w:proofErr w:type="spellEnd"/>
      <w:r w:rsidRPr="00FA3885">
        <w:rPr>
          <w:lang w:val="id-ID"/>
        </w:rPr>
        <w:t>-‘</w:t>
      </w:r>
      <w:proofErr w:type="spellStart"/>
      <w:r w:rsidRPr="00FA3885">
        <w:rPr>
          <w:lang w:val="id-ID"/>
        </w:rPr>
        <w:t>Ilmiyyah</w:t>
      </w:r>
      <w:proofErr w:type="spellEnd"/>
      <w:r w:rsidRPr="00FA3885">
        <w:rPr>
          <w:lang w:val="id-ID"/>
        </w:rPr>
        <w:t>, 1996), Juz 4, hlm. 44</w:t>
      </w:r>
    </w:p>
  </w:footnote>
  <w:footnote w:id="17">
    <w:p w14:paraId="53DF5D69"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id-ID"/>
        </w:rPr>
        <w:t xml:space="preserve"> </w:t>
      </w:r>
      <w:proofErr w:type="spellStart"/>
      <w:r w:rsidRPr="00FA3885">
        <w:rPr>
          <w:lang w:val="id-ID"/>
        </w:rPr>
        <w:t>Ibn</w:t>
      </w:r>
      <w:proofErr w:type="spellEnd"/>
      <w:r w:rsidRPr="00FA3885">
        <w:rPr>
          <w:lang w:val="id-ID"/>
        </w:rPr>
        <w:t xml:space="preserve"> </w:t>
      </w:r>
      <w:proofErr w:type="spellStart"/>
      <w:r w:rsidRPr="00FA3885">
        <w:rPr>
          <w:lang w:val="id-ID"/>
        </w:rPr>
        <w:t>Taimiyyah</w:t>
      </w:r>
      <w:proofErr w:type="spellEnd"/>
      <w:r w:rsidRPr="00FA3885">
        <w:rPr>
          <w:lang w:val="id-ID"/>
        </w:rPr>
        <w:t xml:space="preserve">, </w:t>
      </w:r>
      <w:proofErr w:type="spellStart"/>
      <w:r w:rsidRPr="00FA3885">
        <w:rPr>
          <w:i/>
          <w:iCs/>
          <w:lang w:val="id-ID"/>
        </w:rPr>
        <w:t>Iqtiḍā</w:t>
      </w:r>
      <w:proofErr w:type="spellEnd"/>
      <w:r w:rsidRPr="00FA3885">
        <w:rPr>
          <w:i/>
          <w:iCs/>
          <w:lang w:val="id-ID"/>
        </w:rPr>
        <w:t xml:space="preserve">’ </w:t>
      </w:r>
      <w:proofErr w:type="spellStart"/>
      <w:r w:rsidRPr="00FA3885">
        <w:rPr>
          <w:i/>
          <w:iCs/>
          <w:lang w:val="id-ID"/>
        </w:rPr>
        <w:t>aṣ-ṣirāṭ</w:t>
      </w:r>
      <w:proofErr w:type="spellEnd"/>
      <w:r w:rsidRPr="00FA3885">
        <w:rPr>
          <w:i/>
          <w:iCs/>
          <w:lang w:val="id-ID"/>
        </w:rPr>
        <w:t xml:space="preserve"> </w:t>
      </w:r>
      <w:proofErr w:type="spellStart"/>
      <w:r w:rsidRPr="00FA3885">
        <w:rPr>
          <w:i/>
          <w:iCs/>
          <w:lang w:val="id-ID"/>
        </w:rPr>
        <w:t>al-mustaqīm</w:t>
      </w:r>
      <w:proofErr w:type="spellEnd"/>
      <w:r w:rsidRPr="00FA3885">
        <w:rPr>
          <w:i/>
          <w:iCs/>
          <w:lang w:val="id-ID"/>
        </w:rPr>
        <w:t xml:space="preserve"> </w:t>
      </w:r>
      <w:proofErr w:type="spellStart"/>
      <w:r w:rsidRPr="00FA3885">
        <w:rPr>
          <w:i/>
          <w:iCs/>
          <w:lang w:val="id-ID"/>
        </w:rPr>
        <w:t>fī</w:t>
      </w:r>
      <w:proofErr w:type="spellEnd"/>
      <w:r w:rsidRPr="00FA3885">
        <w:rPr>
          <w:i/>
          <w:iCs/>
          <w:lang w:val="id-ID"/>
        </w:rPr>
        <w:t xml:space="preserve"> </w:t>
      </w:r>
      <w:proofErr w:type="spellStart"/>
      <w:r w:rsidRPr="00FA3885">
        <w:rPr>
          <w:i/>
          <w:iCs/>
          <w:lang w:val="id-ID"/>
        </w:rPr>
        <w:t>mukhālafat</w:t>
      </w:r>
      <w:proofErr w:type="spellEnd"/>
      <w:r w:rsidRPr="00FA3885">
        <w:rPr>
          <w:i/>
          <w:iCs/>
          <w:lang w:val="id-ID"/>
        </w:rPr>
        <w:t xml:space="preserve"> </w:t>
      </w:r>
      <w:proofErr w:type="spellStart"/>
      <w:r w:rsidRPr="00FA3885">
        <w:rPr>
          <w:i/>
          <w:iCs/>
          <w:lang w:val="id-ID"/>
        </w:rPr>
        <w:t>aṣḥāb</w:t>
      </w:r>
      <w:proofErr w:type="spellEnd"/>
      <w:r w:rsidRPr="00FA3885">
        <w:rPr>
          <w:i/>
          <w:iCs/>
          <w:lang w:val="id-ID"/>
        </w:rPr>
        <w:t xml:space="preserve"> </w:t>
      </w:r>
      <w:proofErr w:type="spellStart"/>
      <w:r w:rsidRPr="00FA3885">
        <w:rPr>
          <w:i/>
          <w:iCs/>
          <w:lang w:val="id-ID"/>
        </w:rPr>
        <w:t>al-jaḥīm</w:t>
      </w:r>
      <w:proofErr w:type="spellEnd"/>
      <w:r w:rsidRPr="00FA3885">
        <w:rPr>
          <w:lang w:val="id-ID"/>
        </w:rPr>
        <w:t xml:space="preserve"> (Beirut: </w:t>
      </w:r>
      <w:proofErr w:type="spellStart"/>
      <w:r w:rsidRPr="00FA3885">
        <w:rPr>
          <w:lang w:val="id-ID"/>
        </w:rPr>
        <w:t>Dār</w:t>
      </w:r>
      <w:proofErr w:type="spellEnd"/>
      <w:r w:rsidRPr="00FA3885">
        <w:rPr>
          <w:lang w:val="id-ID"/>
        </w:rPr>
        <w:t xml:space="preserve"> </w:t>
      </w:r>
      <w:proofErr w:type="spellStart"/>
      <w:r w:rsidRPr="00FA3885">
        <w:rPr>
          <w:lang w:val="id-ID"/>
        </w:rPr>
        <w:t>al</w:t>
      </w:r>
      <w:proofErr w:type="spellEnd"/>
      <w:r w:rsidRPr="00FA3885">
        <w:rPr>
          <w:lang w:val="id-ID"/>
        </w:rPr>
        <w:t xml:space="preserve">-Kutub </w:t>
      </w:r>
      <w:proofErr w:type="spellStart"/>
      <w:r w:rsidRPr="00FA3885">
        <w:rPr>
          <w:lang w:val="id-ID"/>
        </w:rPr>
        <w:t>al</w:t>
      </w:r>
      <w:proofErr w:type="spellEnd"/>
      <w:r w:rsidRPr="00FA3885">
        <w:rPr>
          <w:lang w:val="id-ID"/>
        </w:rPr>
        <w:t>-‘</w:t>
      </w:r>
      <w:proofErr w:type="spellStart"/>
      <w:r w:rsidRPr="00FA3885">
        <w:rPr>
          <w:lang w:val="id-ID"/>
        </w:rPr>
        <w:t>Ilmiyyah</w:t>
      </w:r>
      <w:proofErr w:type="spellEnd"/>
      <w:r w:rsidRPr="00FA3885">
        <w:rPr>
          <w:lang w:val="id-ID"/>
        </w:rPr>
        <w:t>, 1993), hlm. 82</w:t>
      </w:r>
    </w:p>
  </w:footnote>
  <w:footnote w:id="18">
    <w:p w14:paraId="3B0F54A5"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id-ID"/>
        </w:rPr>
        <w:t xml:space="preserve"> </w:t>
      </w:r>
      <w:r w:rsidRPr="00FA3885">
        <w:rPr>
          <w:lang w:val="id-ID"/>
        </w:rPr>
        <w:t xml:space="preserve">Yusuf </w:t>
      </w:r>
      <w:proofErr w:type="spellStart"/>
      <w:r w:rsidRPr="00FA3885">
        <w:rPr>
          <w:lang w:val="id-ID"/>
        </w:rPr>
        <w:t>al-Qaradawi</w:t>
      </w:r>
      <w:proofErr w:type="spellEnd"/>
      <w:r w:rsidRPr="00FA3885">
        <w:rPr>
          <w:lang w:val="id-ID"/>
        </w:rPr>
        <w:t xml:space="preserve">, </w:t>
      </w:r>
      <w:r w:rsidRPr="00FA3885">
        <w:rPr>
          <w:i/>
          <w:iCs/>
          <w:lang w:val="id-ID"/>
        </w:rPr>
        <w:t xml:space="preserve">Fiqh </w:t>
      </w:r>
      <w:proofErr w:type="spellStart"/>
      <w:r w:rsidRPr="00FA3885">
        <w:rPr>
          <w:i/>
          <w:iCs/>
          <w:lang w:val="id-ID"/>
        </w:rPr>
        <w:t>al-Awlawiyyāt</w:t>
      </w:r>
      <w:proofErr w:type="spellEnd"/>
      <w:r w:rsidRPr="00FA3885">
        <w:rPr>
          <w:i/>
          <w:iCs/>
          <w:lang w:val="id-ID"/>
        </w:rPr>
        <w:t xml:space="preserve">: </w:t>
      </w:r>
      <w:proofErr w:type="spellStart"/>
      <w:r w:rsidRPr="00FA3885">
        <w:rPr>
          <w:i/>
          <w:iCs/>
          <w:lang w:val="id-ID"/>
        </w:rPr>
        <w:t>Dirāsah</w:t>
      </w:r>
      <w:proofErr w:type="spellEnd"/>
      <w:r w:rsidRPr="00FA3885">
        <w:rPr>
          <w:i/>
          <w:iCs/>
          <w:lang w:val="id-ID"/>
        </w:rPr>
        <w:t xml:space="preserve"> </w:t>
      </w:r>
      <w:proofErr w:type="spellStart"/>
      <w:r w:rsidRPr="00FA3885">
        <w:rPr>
          <w:i/>
          <w:iCs/>
          <w:lang w:val="id-ID"/>
        </w:rPr>
        <w:t>Jadīdah</w:t>
      </w:r>
      <w:proofErr w:type="spellEnd"/>
      <w:r w:rsidRPr="00FA3885">
        <w:rPr>
          <w:i/>
          <w:iCs/>
          <w:lang w:val="id-ID"/>
        </w:rPr>
        <w:t xml:space="preserve"> </w:t>
      </w:r>
      <w:proofErr w:type="spellStart"/>
      <w:r w:rsidRPr="00FA3885">
        <w:rPr>
          <w:i/>
          <w:iCs/>
          <w:lang w:val="id-ID"/>
        </w:rPr>
        <w:t>fī</w:t>
      </w:r>
      <w:proofErr w:type="spellEnd"/>
      <w:r w:rsidRPr="00FA3885">
        <w:rPr>
          <w:i/>
          <w:iCs/>
          <w:lang w:val="id-ID"/>
        </w:rPr>
        <w:t xml:space="preserve"> </w:t>
      </w:r>
      <w:proofErr w:type="spellStart"/>
      <w:r w:rsidRPr="00FA3885">
        <w:rPr>
          <w:i/>
          <w:iCs/>
          <w:lang w:val="id-ID"/>
        </w:rPr>
        <w:t>Ḍaw</w:t>
      </w:r>
      <w:proofErr w:type="spellEnd"/>
      <w:r w:rsidRPr="00FA3885">
        <w:rPr>
          <w:i/>
          <w:iCs/>
          <w:lang w:val="id-ID"/>
        </w:rPr>
        <w:t xml:space="preserve">’ </w:t>
      </w:r>
      <w:proofErr w:type="spellStart"/>
      <w:r w:rsidRPr="00FA3885">
        <w:rPr>
          <w:i/>
          <w:iCs/>
          <w:lang w:val="id-ID"/>
        </w:rPr>
        <w:t>al-Qur’ān</w:t>
      </w:r>
      <w:proofErr w:type="spellEnd"/>
      <w:r w:rsidRPr="00FA3885">
        <w:rPr>
          <w:i/>
          <w:iCs/>
          <w:lang w:val="id-ID"/>
        </w:rPr>
        <w:t xml:space="preserve"> </w:t>
      </w:r>
      <w:proofErr w:type="spellStart"/>
      <w:r w:rsidRPr="00FA3885">
        <w:rPr>
          <w:i/>
          <w:iCs/>
          <w:lang w:val="id-ID"/>
        </w:rPr>
        <w:t>wa</w:t>
      </w:r>
      <w:proofErr w:type="spellEnd"/>
      <w:r w:rsidRPr="00FA3885">
        <w:rPr>
          <w:i/>
          <w:iCs/>
          <w:lang w:val="id-ID"/>
        </w:rPr>
        <w:t xml:space="preserve"> as-</w:t>
      </w:r>
      <w:proofErr w:type="spellStart"/>
      <w:r w:rsidRPr="00FA3885">
        <w:rPr>
          <w:i/>
          <w:iCs/>
          <w:lang w:val="id-ID"/>
        </w:rPr>
        <w:t>Sunnah</w:t>
      </w:r>
      <w:proofErr w:type="spellEnd"/>
      <w:r w:rsidRPr="00FA3885">
        <w:rPr>
          <w:lang w:val="id-ID"/>
        </w:rPr>
        <w:t xml:space="preserve"> (Kairo: </w:t>
      </w:r>
      <w:proofErr w:type="spellStart"/>
      <w:r w:rsidRPr="00FA3885">
        <w:rPr>
          <w:lang w:val="id-ID"/>
        </w:rPr>
        <w:t>Maktabah</w:t>
      </w:r>
      <w:proofErr w:type="spellEnd"/>
      <w:r w:rsidRPr="00FA3885">
        <w:rPr>
          <w:lang w:val="id-ID"/>
        </w:rPr>
        <w:t xml:space="preserve"> </w:t>
      </w:r>
      <w:proofErr w:type="spellStart"/>
      <w:r w:rsidRPr="00FA3885">
        <w:rPr>
          <w:lang w:val="id-ID"/>
        </w:rPr>
        <w:t>Wahbah</w:t>
      </w:r>
      <w:proofErr w:type="spellEnd"/>
      <w:r w:rsidRPr="00FA3885">
        <w:rPr>
          <w:lang w:val="id-ID"/>
        </w:rPr>
        <w:t>, 1995), hlm. 45.</w:t>
      </w:r>
    </w:p>
  </w:footnote>
  <w:footnote w:id="19">
    <w:p w14:paraId="562F0D11"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w:t>
      </w:r>
      <w:r w:rsidRPr="00FA3885">
        <w:rPr>
          <w:lang w:val="nb-NO"/>
        </w:rPr>
        <w:t>Rahman et al. (2024)</w:t>
      </w:r>
    </w:p>
  </w:footnote>
  <w:footnote w:id="20">
    <w:p w14:paraId="661517D2"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w:t>
      </w:r>
      <w:r w:rsidRPr="00FA3885">
        <w:rPr>
          <w:lang w:val="nb-NO"/>
        </w:rPr>
        <w:t xml:space="preserve">Faiz </w:t>
      </w:r>
      <w:r w:rsidRPr="00FA3885">
        <w:rPr>
          <w:lang w:val="nb-NO"/>
        </w:rPr>
        <w:t>&amp; Afrita (2024)</w:t>
      </w:r>
    </w:p>
  </w:footnote>
  <w:footnote w:id="21">
    <w:p w14:paraId="523FBA8A"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Angela, M. &amp; </w:t>
      </w:r>
      <w:proofErr w:type="spellStart"/>
      <w:r w:rsidRPr="00FA3885">
        <w:rPr>
          <w:lang w:val="sv-SE"/>
        </w:rPr>
        <w:t>Prasetyo</w:t>
      </w:r>
      <w:proofErr w:type="spellEnd"/>
      <w:r w:rsidRPr="00FA3885">
        <w:rPr>
          <w:lang w:val="sv-SE"/>
        </w:rPr>
        <w:t>, R., “</w:t>
      </w:r>
      <w:proofErr w:type="spellStart"/>
      <w:r w:rsidRPr="00FA3885">
        <w:rPr>
          <w:lang w:val="sv-SE"/>
        </w:rPr>
        <w:t>Makna</w:t>
      </w:r>
      <w:proofErr w:type="spellEnd"/>
      <w:r w:rsidRPr="00FA3885">
        <w:rPr>
          <w:lang w:val="sv-SE"/>
        </w:rPr>
        <w:t xml:space="preserve"> Ritual Bakar </w:t>
      </w:r>
      <w:proofErr w:type="spellStart"/>
      <w:r w:rsidRPr="00FA3885">
        <w:rPr>
          <w:lang w:val="sv-SE"/>
        </w:rPr>
        <w:t>Tongkang</w:t>
      </w:r>
      <w:proofErr w:type="spellEnd"/>
      <w:r w:rsidRPr="00FA3885">
        <w:rPr>
          <w:lang w:val="sv-SE"/>
        </w:rPr>
        <w:t xml:space="preserve"> </w:t>
      </w:r>
      <w:proofErr w:type="spellStart"/>
      <w:r w:rsidRPr="00FA3885">
        <w:rPr>
          <w:lang w:val="sv-SE"/>
        </w:rPr>
        <w:t>dalam</w:t>
      </w:r>
      <w:proofErr w:type="spellEnd"/>
      <w:r w:rsidRPr="00FA3885">
        <w:rPr>
          <w:lang w:val="sv-SE"/>
        </w:rPr>
        <w:t xml:space="preserve"> </w:t>
      </w:r>
      <w:proofErr w:type="spellStart"/>
      <w:r w:rsidRPr="00FA3885">
        <w:rPr>
          <w:lang w:val="sv-SE"/>
        </w:rPr>
        <w:t>Perspektif</w:t>
      </w:r>
      <w:proofErr w:type="spellEnd"/>
      <w:r w:rsidRPr="00FA3885">
        <w:rPr>
          <w:lang w:val="sv-SE"/>
        </w:rPr>
        <w:t xml:space="preserve"> </w:t>
      </w:r>
      <w:proofErr w:type="spellStart"/>
      <w:r w:rsidRPr="00FA3885">
        <w:rPr>
          <w:lang w:val="sv-SE"/>
        </w:rPr>
        <w:t>Budaya</w:t>
      </w:r>
      <w:proofErr w:type="spellEnd"/>
      <w:r w:rsidRPr="00FA3885">
        <w:rPr>
          <w:lang w:val="sv-SE"/>
        </w:rPr>
        <w:t xml:space="preserve"> </w:t>
      </w:r>
      <w:proofErr w:type="spellStart"/>
      <w:r w:rsidRPr="00FA3885">
        <w:rPr>
          <w:lang w:val="sv-SE"/>
        </w:rPr>
        <w:t>Tionghoa</w:t>
      </w:r>
      <w:proofErr w:type="spellEnd"/>
      <w:r w:rsidRPr="00FA3885">
        <w:rPr>
          <w:lang w:val="sv-SE"/>
        </w:rPr>
        <w:t xml:space="preserve">,” </w:t>
      </w:r>
      <w:proofErr w:type="spellStart"/>
      <w:r w:rsidRPr="00FA3885">
        <w:rPr>
          <w:i/>
          <w:iCs/>
          <w:lang w:val="sv-SE"/>
        </w:rPr>
        <w:t>Jurnal</w:t>
      </w:r>
      <w:proofErr w:type="spellEnd"/>
      <w:r w:rsidRPr="00FA3885">
        <w:rPr>
          <w:i/>
          <w:iCs/>
          <w:lang w:val="sv-SE"/>
        </w:rPr>
        <w:t xml:space="preserve"> Antropologi Indonesia</w:t>
      </w:r>
      <w:r w:rsidRPr="00FA3885">
        <w:rPr>
          <w:lang w:val="sv-SE"/>
        </w:rPr>
        <w:t>, Vol. 45, No. 1 (2024): 55–70</w:t>
      </w:r>
    </w:p>
  </w:footnote>
  <w:footnote w:id="22">
    <w:p w14:paraId="71E42582"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id-ID"/>
        </w:rPr>
        <w:t xml:space="preserve"> </w:t>
      </w:r>
      <w:proofErr w:type="spellStart"/>
      <w:r w:rsidRPr="00FA3885">
        <w:rPr>
          <w:lang w:val="id-ID"/>
        </w:rPr>
        <w:t>Ibn</w:t>
      </w:r>
      <w:proofErr w:type="spellEnd"/>
      <w:r w:rsidRPr="00FA3885">
        <w:rPr>
          <w:lang w:val="id-ID"/>
        </w:rPr>
        <w:t xml:space="preserve"> </w:t>
      </w:r>
      <w:proofErr w:type="spellStart"/>
      <w:r w:rsidRPr="00FA3885">
        <w:rPr>
          <w:lang w:val="id-ID"/>
        </w:rPr>
        <w:t>Taimiyyah</w:t>
      </w:r>
      <w:proofErr w:type="spellEnd"/>
      <w:r w:rsidRPr="00FA3885">
        <w:rPr>
          <w:lang w:val="id-ID"/>
        </w:rPr>
        <w:t xml:space="preserve">, </w:t>
      </w:r>
      <w:proofErr w:type="spellStart"/>
      <w:r w:rsidRPr="00FA3885">
        <w:rPr>
          <w:i/>
          <w:iCs/>
          <w:lang w:val="id-ID"/>
        </w:rPr>
        <w:t>Iqtiḍā</w:t>
      </w:r>
      <w:proofErr w:type="spellEnd"/>
      <w:r w:rsidRPr="00FA3885">
        <w:rPr>
          <w:i/>
          <w:iCs/>
          <w:lang w:val="id-ID"/>
        </w:rPr>
        <w:t xml:space="preserve">’ </w:t>
      </w:r>
      <w:proofErr w:type="spellStart"/>
      <w:r w:rsidRPr="00FA3885">
        <w:rPr>
          <w:i/>
          <w:iCs/>
          <w:lang w:val="id-ID"/>
        </w:rPr>
        <w:t>aṣ-ṣirāṭ</w:t>
      </w:r>
      <w:proofErr w:type="spellEnd"/>
      <w:r w:rsidRPr="00FA3885">
        <w:rPr>
          <w:i/>
          <w:iCs/>
          <w:lang w:val="id-ID"/>
        </w:rPr>
        <w:t xml:space="preserve"> </w:t>
      </w:r>
      <w:proofErr w:type="spellStart"/>
      <w:r w:rsidRPr="00FA3885">
        <w:rPr>
          <w:i/>
          <w:iCs/>
          <w:lang w:val="id-ID"/>
        </w:rPr>
        <w:t>al-mustaqīm</w:t>
      </w:r>
      <w:proofErr w:type="spellEnd"/>
      <w:r w:rsidRPr="00FA3885">
        <w:rPr>
          <w:i/>
          <w:iCs/>
          <w:lang w:val="id-ID"/>
        </w:rPr>
        <w:t xml:space="preserve"> </w:t>
      </w:r>
      <w:proofErr w:type="spellStart"/>
      <w:r w:rsidRPr="00FA3885">
        <w:rPr>
          <w:i/>
          <w:iCs/>
          <w:lang w:val="id-ID"/>
        </w:rPr>
        <w:t>fī</w:t>
      </w:r>
      <w:proofErr w:type="spellEnd"/>
      <w:r w:rsidRPr="00FA3885">
        <w:rPr>
          <w:i/>
          <w:iCs/>
          <w:lang w:val="id-ID"/>
        </w:rPr>
        <w:t xml:space="preserve"> </w:t>
      </w:r>
      <w:proofErr w:type="spellStart"/>
      <w:r w:rsidRPr="00FA3885">
        <w:rPr>
          <w:i/>
          <w:iCs/>
          <w:lang w:val="id-ID"/>
        </w:rPr>
        <w:t>mukhālafat</w:t>
      </w:r>
      <w:proofErr w:type="spellEnd"/>
      <w:r w:rsidRPr="00FA3885">
        <w:rPr>
          <w:i/>
          <w:iCs/>
          <w:lang w:val="id-ID"/>
        </w:rPr>
        <w:t xml:space="preserve"> </w:t>
      </w:r>
      <w:proofErr w:type="spellStart"/>
      <w:r w:rsidRPr="00FA3885">
        <w:rPr>
          <w:i/>
          <w:iCs/>
          <w:lang w:val="id-ID"/>
        </w:rPr>
        <w:t>aṣḥāb</w:t>
      </w:r>
      <w:proofErr w:type="spellEnd"/>
      <w:r w:rsidRPr="00FA3885">
        <w:rPr>
          <w:i/>
          <w:iCs/>
          <w:lang w:val="id-ID"/>
        </w:rPr>
        <w:t xml:space="preserve"> </w:t>
      </w:r>
      <w:proofErr w:type="spellStart"/>
      <w:r w:rsidRPr="00FA3885">
        <w:rPr>
          <w:i/>
          <w:iCs/>
          <w:lang w:val="id-ID"/>
        </w:rPr>
        <w:t>al-jaḥīm</w:t>
      </w:r>
      <w:proofErr w:type="spellEnd"/>
      <w:r w:rsidRPr="00FA3885">
        <w:rPr>
          <w:lang w:val="id-ID"/>
        </w:rPr>
        <w:t xml:space="preserve"> (Beirut: </w:t>
      </w:r>
      <w:proofErr w:type="spellStart"/>
      <w:r w:rsidRPr="00FA3885">
        <w:rPr>
          <w:lang w:val="id-ID"/>
        </w:rPr>
        <w:t>Dār</w:t>
      </w:r>
      <w:proofErr w:type="spellEnd"/>
      <w:r w:rsidRPr="00FA3885">
        <w:rPr>
          <w:lang w:val="id-ID"/>
        </w:rPr>
        <w:t xml:space="preserve"> </w:t>
      </w:r>
      <w:proofErr w:type="spellStart"/>
      <w:r w:rsidRPr="00FA3885">
        <w:rPr>
          <w:lang w:val="id-ID"/>
        </w:rPr>
        <w:t>al</w:t>
      </w:r>
      <w:proofErr w:type="spellEnd"/>
      <w:r w:rsidRPr="00FA3885">
        <w:rPr>
          <w:lang w:val="id-ID"/>
        </w:rPr>
        <w:t xml:space="preserve">-Kutub </w:t>
      </w:r>
      <w:proofErr w:type="spellStart"/>
      <w:r w:rsidRPr="00FA3885">
        <w:rPr>
          <w:lang w:val="id-ID"/>
        </w:rPr>
        <w:t>al</w:t>
      </w:r>
      <w:proofErr w:type="spellEnd"/>
      <w:r w:rsidRPr="00FA3885">
        <w:rPr>
          <w:lang w:val="id-ID"/>
        </w:rPr>
        <w:t>-‘</w:t>
      </w:r>
      <w:proofErr w:type="spellStart"/>
      <w:r w:rsidRPr="00FA3885">
        <w:rPr>
          <w:lang w:val="id-ID"/>
        </w:rPr>
        <w:t>Ilmiyyah</w:t>
      </w:r>
      <w:proofErr w:type="spellEnd"/>
      <w:r w:rsidRPr="00FA3885">
        <w:rPr>
          <w:lang w:val="id-ID"/>
        </w:rPr>
        <w:t>, 1993), hlm. 82</w:t>
      </w:r>
    </w:p>
  </w:footnote>
  <w:footnote w:id="23">
    <w:p w14:paraId="587FE336"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w:t>
      </w:r>
      <w:proofErr w:type="spellStart"/>
      <w:r w:rsidRPr="00FA3885">
        <w:rPr>
          <w:lang w:val="sv-SE"/>
        </w:rPr>
        <w:t>Maulidin</w:t>
      </w:r>
      <w:proofErr w:type="spellEnd"/>
      <w:r w:rsidRPr="00FA3885">
        <w:rPr>
          <w:lang w:val="sv-SE"/>
        </w:rPr>
        <w:t xml:space="preserve">, A., </w:t>
      </w:r>
      <w:proofErr w:type="spellStart"/>
      <w:r w:rsidRPr="00FA3885">
        <w:rPr>
          <w:lang w:val="sv-SE"/>
        </w:rPr>
        <w:t>dkk</w:t>
      </w:r>
      <w:proofErr w:type="spellEnd"/>
      <w:r w:rsidRPr="00FA3885">
        <w:rPr>
          <w:lang w:val="sv-SE"/>
        </w:rPr>
        <w:t>., “</w:t>
      </w:r>
      <w:proofErr w:type="spellStart"/>
      <w:r w:rsidRPr="00FA3885">
        <w:rPr>
          <w:lang w:val="sv-SE"/>
        </w:rPr>
        <w:t>Sinkretisme</w:t>
      </w:r>
      <w:proofErr w:type="spellEnd"/>
      <w:r w:rsidRPr="00FA3885">
        <w:rPr>
          <w:lang w:val="sv-SE"/>
        </w:rPr>
        <w:t xml:space="preserve"> dan </w:t>
      </w:r>
      <w:proofErr w:type="spellStart"/>
      <w:r w:rsidRPr="00FA3885">
        <w:rPr>
          <w:lang w:val="sv-SE"/>
        </w:rPr>
        <w:t>Identitas</w:t>
      </w:r>
      <w:proofErr w:type="spellEnd"/>
      <w:r w:rsidRPr="00FA3885">
        <w:rPr>
          <w:lang w:val="sv-SE"/>
        </w:rPr>
        <w:t xml:space="preserve"> Islam </w:t>
      </w:r>
      <w:proofErr w:type="spellStart"/>
      <w:r w:rsidRPr="00FA3885">
        <w:rPr>
          <w:lang w:val="sv-SE"/>
        </w:rPr>
        <w:t>Nusantara</w:t>
      </w:r>
      <w:proofErr w:type="spellEnd"/>
      <w:r w:rsidRPr="00FA3885">
        <w:rPr>
          <w:lang w:val="sv-SE"/>
        </w:rPr>
        <w:t xml:space="preserve"> </w:t>
      </w:r>
      <w:proofErr w:type="spellStart"/>
      <w:r w:rsidRPr="00FA3885">
        <w:rPr>
          <w:lang w:val="sv-SE"/>
        </w:rPr>
        <w:t>dalam</w:t>
      </w:r>
      <w:proofErr w:type="spellEnd"/>
      <w:r w:rsidRPr="00FA3885">
        <w:rPr>
          <w:lang w:val="sv-SE"/>
        </w:rPr>
        <w:t xml:space="preserve"> </w:t>
      </w:r>
      <w:proofErr w:type="spellStart"/>
      <w:r w:rsidRPr="00FA3885">
        <w:rPr>
          <w:lang w:val="sv-SE"/>
        </w:rPr>
        <w:t>Perspektif</w:t>
      </w:r>
      <w:proofErr w:type="spellEnd"/>
      <w:r w:rsidRPr="00FA3885">
        <w:rPr>
          <w:lang w:val="sv-SE"/>
        </w:rPr>
        <w:t xml:space="preserve"> </w:t>
      </w:r>
      <w:proofErr w:type="spellStart"/>
      <w:r w:rsidRPr="00FA3885">
        <w:rPr>
          <w:lang w:val="sv-SE"/>
        </w:rPr>
        <w:t>Sejarah</w:t>
      </w:r>
      <w:proofErr w:type="spellEnd"/>
      <w:r w:rsidRPr="00FA3885">
        <w:rPr>
          <w:lang w:val="sv-SE"/>
        </w:rPr>
        <w:t xml:space="preserve">,” </w:t>
      </w:r>
      <w:proofErr w:type="spellStart"/>
      <w:r w:rsidRPr="00FA3885">
        <w:rPr>
          <w:i/>
          <w:iCs/>
          <w:lang w:val="sv-SE"/>
        </w:rPr>
        <w:t>Jurnal</w:t>
      </w:r>
      <w:proofErr w:type="spellEnd"/>
      <w:r w:rsidRPr="00FA3885">
        <w:rPr>
          <w:i/>
          <w:iCs/>
          <w:lang w:val="sv-SE"/>
        </w:rPr>
        <w:t xml:space="preserve"> </w:t>
      </w:r>
      <w:proofErr w:type="spellStart"/>
      <w:r w:rsidRPr="00FA3885">
        <w:rPr>
          <w:i/>
          <w:iCs/>
          <w:lang w:val="sv-SE"/>
        </w:rPr>
        <w:t>Sejarah</w:t>
      </w:r>
      <w:proofErr w:type="spellEnd"/>
      <w:r w:rsidRPr="00FA3885">
        <w:rPr>
          <w:i/>
          <w:iCs/>
          <w:lang w:val="sv-SE"/>
        </w:rPr>
        <w:t xml:space="preserve"> dan </w:t>
      </w:r>
      <w:proofErr w:type="spellStart"/>
      <w:r w:rsidRPr="00FA3885">
        <w:rPr>
          <w:i/>
          <w:iCs/>
          <w:lang w:val="sv-SE"/>
        </w:rPr>
        <w:t>Kebudayaan</w:t>
      </w:r>
      <w:proofErr w:type="spellEnd"/>
      <w:r w:rsidRPr="00FA3885">
        <w:rPr>
          <w:i/>
          <w:iCs/>
          <w:lang w:val="sv-SE"/>
        </w:rPr>
        <w:t xml:space="preserve"> Islam</w:t>
      </w:r>
      <w:r w:rsidRPr="00FA3885">
        <w:rPr>
          <w:lang w:val="sv-SE"/>
        </w:rPr>
        <w:t>, Vol. 12, No. 2 (2024): 101–118.</w:t>
      </w:r>
    </w:p>
  </w:footnote>
  <w:footnote w:id="24">
    <w:p w14:paraId="3D3C798A"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Pramulia, D., </w:t>
      </w:r>
      <w:r w:rsidRPr="00FA3885">
        <w:rPr>
          <w:i/>
          <w:iCs/>
          <w:lang w:val="nb-NO"/>
        </w:rPr>
        <w:t>Islam dan Budaya Lokal di Nusantara</w:t>
      </w:r>
      <w:r w:rsidRPr="00FA3885">
        <w:rPr>
          <w:lang w:val="nb-NO"/>
        </w:rPr>
        <w:t xml:space="preserve"> (Yogyakarta: Ombak, 2019), hlm. 67.</w:t>
      </w:r>
    </w:p>
  </w:footnote>
  <w:footnote w:id="25">
    <w:p w14:paraId="540F84B0"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Hidayat, </w:t>
      </w:r>
      <w:r w:rsidRPr="00FA3885">
        <w:rPr>
          <w:lang w:val="nb-NO"/>
        </w:rPr>
        <w:t xml:space="preserve">K., </w:t>
      </w:r>
      <w:r w:rsidRPr="00FA3885">
        <w:rPr>
          <w:i/>
          <w:iCs/>
          <w:lang w:val="nb-NO"/>
        </w:rPr>
        <w:t>Tradisi Keagamaan dalam Masyarakat Multikultural Indonesia</w:t>
      </w:r>
      <w:r w:rsidRPr="00FA3885">
        <w:rPr>
          <w:lang w:val="nb-NO"/>
        </w:rPr>
        <w:t xml:space="preserve"> (Jakarta: Prenada Media, 2020), hlm. 45.</w:t>
      </w:r>
    </w:p>
  </w:footnote>
  <w:footnote w:id="26">
    <w:p w14:paraId="726240CE"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t xml:space="preserve"> Hasyim, H. S., </w:t>
      </w:r>
      <w:proofErr w:type="spellStart"/>
      <w:r w:rsidRPr="00FA3885">
        <w:t>Wawancara</w:t>
      </w:r>
      <w:proofErr w:type="spellEnd"/>
      <w:r w:rsidRPr="00FA3885">
        <w:t xml:space="preserve">, </w:t>
      </w:r>
      <w:proofErr w:type="spellStart"/>
      <w:r w:rsidRPr="00FA3885">
        <w:t>Bagansiapiapi</w:t>
      </w:r>
      <w:proofErr w:type="spellEnd"/>
      <w:r w:rsidRPr="00FA3885">
        <w:t>, 5 Agustus 2025.</w:t>
      </w:r>
    </w:p>
  </w:footnote>
  <w:footnote w:id="27">
    <w:p w14:paraId="3E5D1C1E"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id-ID"/>
        </w:rPr>
        <w:t xml:space="preserve"> </w:t>
      </w:r>
      <w:r w:rsidRPr="00FA3885">
        <w:rPr>
          <w:lang w:val="id-ID"/>
        </w:rPr>
        <w:t>Fauzi, A., Wawancara, Pekanbaru, 5 Agustus 2025</w:t>
      </w:r>
    </w:p>
  </w:footnote>
  <w:footnote w:id="28">
    <w:p w14:paraId="150C795A"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t xml:space="preserve"> Mansyur, I., </w:t>
      </w:r>
      <w:proofErr w:type="spellStart"/>
      <w:r w:rsidRPr="00FA3885">
        <w:t>Wawancara</w:t>
      </w:r>
      <w:proofErr w:type="spellEnd"/>
      <w:r w:rsidRPr="00FA3885">
        <w:t xml:space="preserve">, </w:t>
      </w:r>
      <w:proofErr w:type="spellStart"/>
      <w:r w:rsidRPr="00FA3885">
        <w:t>Bagansiapiapi</w:t>
      </w:r>
      <w:proofErr w:type="spellEnd"/>
      <w:r w:rsidRPr="00FA3885">
        <w:t>, 5 Agustus 2025.</w:t>
      </w:r>
    </w:p>
  </w:footnote>
  <w:footnote w:id="29">
    <w:p w14:paraId="1A982BFE"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id-ID"/>
        </w:rPr>
        <w:t xml:space="preserve"> </w:t>
      </w:r>
      <w:r w:rsidRPr="00FA3885">
        <w:rPr>
          <w:lang w:val="id-ID"/>
        </w:rPr>
        <w:t xml:space="preserve">Maknun, M., Subarkah, A., &amp; Rasyid, A., </w:t>
      </w:r>
      <w:r w:rsidRPr="00FA3885">
        <w:rPr>
          <w:i/>
          <w:iCs/>
          <w:lang w:val="id-ID"/>
        </w:rPr>
        <w:t>Fiqh Kontemporer dan Relasi Sosial Keagamaan</w:t>
      </w:r>
      <w:r w:rsidRPr="00FA3885">
        <w:rPr>
          <w:lang w:val="id-ID"/>
        </w:rPr>
        <w:t xml:space="preserve"> (Yogyakarta: UII </w:t>
      </w:r>
      <w:proofErr w:type="spellStart"/>
      <w:r w:rsidRPr="00FA3885">
        <w:rPr>
          <w:lang w:val="id-ID"/>
        </w:rPr>
        <w:t>Press</w:t>
      </w:r>
      <w:proofErr w:type="spellEnd"/>
      <w:r w:rsidRPr="00FA3885">
        <w:rPr>
          <w:lang w:val="id-ID"/>
        </w:rPr>
        <w:t>, 2021), hlm. 92.</w:t>
      </w:r>
    </w:p>
  </w:footnote>
  <w:footnote w:id="30">
    <w:p w14:paraId="5ADC6EE3"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Al-</w:t>
      </w:r>
      <w:proofErr w:type="spellStart"/>
      <w:r w:rsidRPr="00FA3885">
        <w:rPr>
          <w:lang w:val="sv-SE"/>
        </w:rPr>
        <w:t>Asy’ari</w:t>
      </w:r>
      <w:proofErr w:type="spellEnd"/>
      <w:r w:rsidRPr="00FA3885">
        <w:rPr>
          <w:lang w:val="sv-SE"/>
        </w:rPr>
        <w:t xml:space="preserve">, M., </w:t>
      </w:r>
      <w:proofErr w:type="spellStart"/>
      <w:r w:rsidRPr="00FA3885">
        <w:rPr>
          <w:lang w:val="sv-SE"/>
        </w:rPr>
        <w:t>Nurdin</w:t>
      </w:r>
      <w:proofErr w:type="spellEnd"/>
      <w:r w:rsidRPr="00FA3885">
        <w:rPr>
          <w:lang w:val="sv-SE"/>
        </w:rPr>
        <w:t xml:space="preserve">, A., &amp; </w:t>
      </w:r>
      <w:proofErr w:type="spellStart"/>
      <w:r w:rsidRPr="00FA3885">
        <w:rPr>
          <w:lang w:val="sv-SE"/>
        </w:rPr>
        <w:t>Fathurrahman</w:t>
      </w:r>
      <w:proofErr w:type="spellEnd"/>
      <w:r w:rsidRPr="00FA3885">
        <w:rPr>
          <w:lang w:val="sv-SE"/>
        </w:rPr>
        <w:t xml:space="preserve">, R., </w:t>
      </w:r>
      <w:r w:rsidRPr="00FA3885">
        <w:rPr>
          <w:i/>
          <w:iCs/>
          <w:lang w:val="sv-SE"/>
        </w:rPr>
        <w:t xml:space="preserve">Islam dan </w:t>
      </w:r>
      <w:proofErr w:type="spellStart"/>
      <w:r w:rsidRPr="00FA3885">
        <w:rPr>
          <w:i/>
          <w:iCs/>
          <w:lang w:val="sv-SE"/>
        </w:rPr>
        <w:t>Pluralitas</w:t>
      </w:r>
      <w:proofErr w:type="spellEnd"/>
      <w:r w:rsidRPr="00FA3885">
        <w:rPr>
          <w:i/>
          <w:iCs/>
          <w:lang w:val="sv-SE"/>
        </w:rPr>
        <w:t xml:space="preserve"> </w:t>
      </w:r>
      <w:proofErr w:type="spellStart"/>
      <w:r w:rsidRPr="00FA3885">
        <w:rPr>
          <w:i/>
          <w:iCs/>
          <w:lang w:val="sv-SE"/>
        </w:rPr>
        <w:t>Budaya</w:t>
      </w:r>
      <w:proofErr w:type="spellEnd"/>
      <w:r w:rsidRPr="00FA3885">
        <w:rPr>
          <w:i/>
          <w:iCs/>
          <w:lang w:val="sv-SE"/>
        </w:rPr>
        <w:t xml:space="preserve">: </w:t>
      </w:r>
      <w:proofErr w:type="spellStart"/>
      <w:r w:rsidRPr="00FA3885">
        <w:rPr>
          <w:i/>
          <w:iCs/>
          <w:lang w:val="sv-SE"/>
        </w:rPr>
        <w:t>Perspektif</w:t>
      </w:r>
      <w:proofErr w:type="spellEnd"/>
      <w:r w:rsidRPr="00FA3885">
        <w:rPr>
          <w:i/>
          <w:iCs/>
          <w:lang w:val="sv-SE"/>
        </w:rPr>
        <w:t xml:space="preserve"> </w:t>
      </w:r>
      <w:proofErr w:type="spellStart"/>
      <w:r w:rsidRPr="00FA3885">
        <w:rPr>
          <w:i/>
          <w:iCs/>
          <w:lang w:val="sv-SE"/>
        </w:rPr>
        <w:t>Fiqh</w:t>
      </w:r>
      <w:proofErr w:type="spellEnd"/>
      <w:r w:rsidRPr="00FA3885">
        <w:rPr>
          <w:i/>
          <w:iCs/>
          <w:lang w:val="sv-SE"/>
        </w:rPr>
        <w:t xml:space="preserve"> </w:t>
      </w:r>
      <w:proofErr w:type="spellStart"/>
      <w:r w:rsidRPr="00FA3885">
        <w:rPr>
          <w:i/>
          <w:iCs/>
          <w:lang w:val="sv-SE"/>
        </w:rPr>
        <w:t>Sosial</w:t>
      </w:r>
      <w:proofErr w:type="spellEnd"/>
      <w:r w:rsidRPr="00FA3885">
        <w:rPr>
          <w:lang w:val="sv-SE"/>
        </w:rPr>
        <w:t xml:space="preserve"> (Bandung: </w:t>
      </w:r>
      <w:proofErr w:type="spellStart"/>
      <w:r w:rsidRPr="00FA3885">
        <w:rPr>
          <w:lang w:val="sv-SE"/>
        </w:rPr>
        <w:t>Remaja</w:t>
      </w:r>
      <w:proofErr w:type="spellEnd"/>
      <w:r w:rsidRPr="00FA3885">
        <w:rPr>
          <w:lang w:val="sv-SE"/>
        </w:rPr>
        <w:t xml:space="preserve"> </w:t>
      </w:r>
      <w:proofErr w:type="spellStart"/>
      <w:r w:rsidRPr="00FA3885">
        <w:rPr>
          <w:lang w:val="sv-SE"/>
        </w:rPr>
        <w:t>Rosdakarya</w:t>
      </w:r>
      <w:proofErr w:type="spellEnd"/>
      <w:r w:rsidRPr="00FA3885">
        <w:rPr>
          <w:lang w:val="sv-SE"/>
        </w:rPr>
        <w:t xml:space="preserve">, 2024), </w:t>
      </w:r>
      <w:proofErr w:type="spellStart"/>
      <w:r w:rsidRPr="00FA3885">
        <w:rPr>
          <w:lang w:val="sv-SE"/>
        </w:rPr>
        <w:t>hlm</w:t>
      </w:r>
      <w:proofErr w:type="spellEnd"/>
      <w:r w:rsidRPr="00FA3885">
        <w:rPr>
          <w:lang w:val="sv-SE"/>
        </w:rPr>
        <w:t>. 110.</w:t>
      </w:r>
    </w:p>
  </w:footnote>
  <w:footnote w:id="31">
    <w:p w14:paraId="5596DC78"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Hannan, A. &amp; Umam, M., </w:t>
      </w:r>
      <w:r w:rsidRPr="00FA3885">
        <w:rPr>
          <w:i/>
          <w:iCs/>
          <w:lang w:val="nb-NO"/>
        </w:rPr>
        <w:t>Islam Inklusif di Tengah Tradisi Lokal</w:t>
      </w:r>
      <w:r w:rsidRPr="00FA3885">
        <w:rPr>
          <w:lang w:val="nb-NO"/>
        </w:rPr>
        <w:t xml:space="preserve"> (Jakarta: Kencana, 2023), hlm. 78.</w:t>
      </w:r>
    </w:p>
  </w:footnote>
  <w:footnote w:id="32">
    <w:p w14:paraId="1794D7EA"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nb-NO"/>
        </w:rPr>
        <w:t xml:space="preserve"> </w:t>
      </w:r>
      <w:r w:rsidRPr="00FA3885">
        <w:rPr>
          <w:lang w:val="nb-NO"/>
        </w:rPr>
        <w:t xml:space="preserve">Rahmelia, S., </w:t>
      </w:r>
      <w:r w:rsidRPr="00FA3885">
        <w:rPr>
          <w:i/>
          <w:iCs/>
          <w:lang w:val="nb-NO"/>
        </w:rPr>
        <w:t>Ghirah Keagamaan dan Tantangan Intoleransi di Indonesia</w:t>
      </w:r>
      <w:r w:rsidRPr="00FA3885">
        <w:rPr>
          <w:lang w:val="nb-NO"/>
        </w:rPr>
        <w:t xml:space="preserve"> (Malang: UB Press, 2020), hlm. 56.</w:t>
      </w:r>
    </w:p>
  </w:footnote>
  <w:footnote w:id="33">
    <w:p w14:paraId="442BEA33"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Hasyim, M. &amp; Junaidi, A., </w:t>
      </w:r>
      <w:r w:rsidRPr="00FA3885">
        <w:rPr>
          <w:i/>
          <w:iCs/>
          <w:lang w:val="nb-NO"/>
        </w:rPr>
        <w:t>Moderasi Beragama: Jalan Tengah Meredam Ekstremisme</w:t>
      </w:r>
      <w:r w:rsidRPr="00FA3885">
        <w:rPr>
          <w:lang w:val="nb-NO"/>
        </w:rPr>
        <w:t xml:space="preserve"> (Jakarta: Prenadamedia, 2023), hlm. 45.</w:t>
      </w:r>
    </w:p>
  </w:footnote>
  <w:footnote w:id="34">
    <w:p w14:paraId="63C47739" w14:textId="77777777" w:rsidR="00FA3885" w:rsidRPr="00FA3885" w:rsidRDefault="00FA3885" w:rsidP="003734C5">
      <w:pPr>
        <w:pStyle w:val="TeksCatatanKaki"/>
        <w:ind w:left="142" w:hanging="142"/>
        <w:jc w:val="both"/>
        <w:rPr>
          <w:lang w:val="nb-NO"/>
        </w:rPr>
      </w:pPr>
      <w:r w:rsidRPr="00FA3885">
        <w:rPr>
          <w:rStyle w:val="ReferensiCatatanKaki"/>
        </w:rPr>
        <w:footnoteRef/>
      </w:r>
      <w:r w:rsidRPr="00FA3885">
        <w:rPr>
          <w:lang w:val="nb-NO"/>
        </w:rPr>
        <w:t xml:space="preserve"> </w:t>
      </w:r>
      <w:r w:rsidRPr="00FA3885">
        <w:rPr>
          <w:lang w:val="nb-NO"/>
        </w:rPr>
        <w:t xml:space="preserve">Najmi, F., </w:t>
      </w:r>
      <w:r w:rsidRPr="00FA3885">
        <w:rPr>
          <w:i/>
          <w:iCs/>
          <w:lang w:val="nb-NO"/>
        </w:rPr>
        <w:t>Pendidikan Islam Inklusif: Narasi Moderasi dalam Masyarakat Multikultural</w:t>
      </w:r>
      <w:r w:rsidRPr="00FA3885">
        <w:rPr>
          <w:lang w:val="nb-NO"/>
        </w:rPr>
        <w:t xml:space="preserve"> (Bandung: Remaja Rosdakarya, 2023), hlm. 72.</w:t>
      </w:r>
    </w:p>
  </w:footnote>
  <w:footnote w:id="35">
    <w:p w14:paraId="031EB79A" w14:textId="77777777" w:rsidR="00FA3885" w:rsidRPr="00FA3885" w:rsidRDefault="00FA3885" w:rsidP="003734C5">
      <w:pPr>
        <w:pStyle w:val="TeksCatatanKaki"/>
        <w:ind w:left="142" w:hanging="142"/>
        <w:jc w:val="both"/>
        <w:rPr>
          <w:lang w:val="id-ID"/>
        </w:rPr>
      </w:pPr>
      <w:r w:rsidRPr="00FA3885">
        <w:rPr>
          <w:rStyle w:val="ReferensiCatatanKaki"/>
        </w:rPr>
        <w:footnoteRef/>
      </w:r>
      <w:r w:rsidRPr="00FA3885">
        <w:rPr>
          <w:lang w:val="sv-SE"/>
        </w:rPr>
        <w:t xml:space="preserve"> </w:t>
      </w:r>
      <w:proofErr w:type="spellStart"/>
      <w:r w:rsidRPr="00FA3885">
        <w:rPr>
          <w:lang w:val="sv-SE"/>
        </w:rPr>
        <w:t>Evimalinda</w:t>
      </w:r>
      <w:proofErr w:type="spellEnd"/>
      <w:r w:rsidRPr="00FA3885">
        <w:rPr>
          <w:lang w:val="sv-SE"/>
        </w:rPr>
        <w:t xml:space="preserve">, N., </w:t>
      </w:r>
      <w:proofErr w:type="spellStart"/>
      <w:r w:rsidRPr="00FA3885">
        <w:rPr>
          <w:lang w:val="sv-SE"/>
        </w:rPr>
        <w:t>Putra</w:t>
      </w:r>
      <w:proofErr w:type="spellEnd"/>
      <w:r w:rsidRPr="00FA3885">
        <w:rPr>
          <w:lang w:val="sv-SE"/>
        </w:rPr>
        <w:t xml:space="preserve">, R., &amp; </w:t>
      </w:r>
      <w:proofErr w:type="spellStart"/>
      <w:r w:rsidRPr="00FA3885">
        <w:rPr>
          <w:lang w:val="sv-SE"/>
        </w:rPr>
        <w:t>Kurniawan</w:t>
      </w:r>
      <w:proofErr w:type="spellEnd"/>
      <w:r w:rsidRPr="00FA3885">
        <w:rPr>
          <w:lang w:val="sv-SE"/>
        </w:rPr>
        <w:t xml:space="preserve">, H., </w:t>
      </w:r>
      <w:proofErr w:type="spellStart"/>
      <w:r w:rsidRPr="00FA3885">
        <w:rPr>
          <w:i/>
          <w:iCs/>
          <w:lang w:val="sv-SE"/>
        </w:rPr>
        <w:t>Mediasi</w:t>
      </w:r>
      <w:proofErr w:type="spellEnd"/>
      <w:r w:rsidRPr="00FA3885">
        <w:rPr>
          <w:i/>
          <w:iCs/>
          <w:lang w:val="sv-SE"/>
        </w:rPr>
        <w:t xml:space="preserve"> </w:t>
      </w:r>
      <w:proofErr w:type="spellStart"/>
      <w:r w:rsidRPr="00FA3885">
        <w:rPr>
          <w:i/>
          <w:iCs/>
          <w:lang w:val="sv-SE"/>
        </w:rPr>
        <w:t>Budaya</w:t>
      </w:r>
      <w:proofErr w:type="spellEnd"/>
      <w:r w:rsidRPr="00FA3885">
        <w:rPr>
          <w:i/>
          <w:iCs/>
          <w:lang w:val="sv-SE"/>
        </w:rPr>
        <w:t xml:space="preserve"> dan </w:t>
      </w:r>
      <w:proofErr w:type="spellStart"/>
      <w:r w:rsidRPr="00FA3885">
        <w:rPr>
          <w:i/>
          <w:iCs/>
          <w:lang w:val="sv-SE"/>
        </w:rPr>
        <w:t>Moderasi</w:t>
      </w:r>
      <w:proofErr w:type="spellEnd"/>
      <w:r w:rsidRPr="00FA3885">
        <w:rPr>
          <w:i/>
          <w:iCs/>
          <w:lang w:val="sv-SE"/>
        </w:rPr>
        <w:t xml:space="preserve"> </w:t>
      </w:r>
      <w:proofErr w:type="spellStart"/>
      <w:r w:rsidRPr="00FA3885">
        <w:rPr>
          <w:i/>
          <w:iCs/>
          <w:lang w:val="sv-SE"/>
        </w:rPr>
        <w:t>Beragama</w:t>
      </w:r>
      <w:proofErr w:type="spellEnd"/>
      <w:r w:rsidRPr="00FA3885">
        <w:rPr>
          <w:lang w:val="sv-SE"/>
        </w:rPr>
        <w:t xml:space="preserve"> (Malang: UB Press, 2023), </w:t>
      </w:r>
      <w:proofErr w:type="spellStart"/>
      <w:r w:rsidRPr="00FA3885">
        <w:rPr>
          <w:lang w:val="sv-SE"/>
        </w:rPr>
        <w:t>hlm</w:t>
      </w:r>
      <w:proofErr w:type="spellEnd"/>
      <w:r w:rsidRPr="00FA3885">
        <w:rPr>
          <w:lang w:val="sv-SE"/>
        </w:rPr>
        <w:t>. 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insideH w:val="single" w:sz="4" w:space="0" w:color="auto"/>
        <w:insideV w:val="single" w:sz="4" w:space="0" w:color="auto"/>
      </w:tblBorders>
      <w:tblLook w:val="01E0" w:firstRow="1" w:lastRow="1" w:firstColumn="1" w:lastColumn="1" w:noHBand="0" w:noVBand="0"/>
    </w:tblPr>
    <w:tblGrid>
      <w:gridCol w:w="8222"/>
      <w:gridCol w:w="566"/>
    </w:tblGrid>
    <w:tr w:rsidR="002F573F" w:rsidRPr="00A72B06" w14:paraId="3F77F9E5" w14:textId="77777777" w:rsidTr="00063F3B">
      <w:tc>
        <w:tcPr>
          <w:tcW w:w="4678" w:type="pct"/>
        </w:tcPr>
        <w:p w14:paraId="434115AD" w14:textId="6DB059B4" w:rsidR="002F573F" w:rsidRPr="009C39A8" w:rsidRDefault="00FA3885" w:rsidP="00D2471A">
          <w:pPr>
            <w:spacing w:after="0" w:line="240" w:lineRule="auto"/>
            <w:jc w:val="right"/>
            <w:rPr>
              <w:rFonts w:asciiTheme="minorHAnsi" w:hAnsiTheme="minorHAnsi" w:cstheme="minorHAnsi"/>
              <w:b/>
              <w:bCs/>
              <w:i/>
              <w:iCs/>
            </w:rPr>
          </w:pPr>
          <w:r w:rsidRPr="00FA3885">
            <w:rPr>
              <w:rFonts w:asciiTheme="minorHAnsi" w:hAnsiTheme="minorHAnsi" w:cstheme="minorHAnsi"/>
              <w:b/>
              <w:bCs/>
              <w:i/>
              <w:iCs/>
            </w:rPr>
            <w:t xml:space="preserve">Analisis Hadis </w:t>
          </w:r>
          <w:proofErr w:type="spellStart"/>
          <w:r w:rsidRPr="00FA3885">
            <w:rPr>
              <w:rFonts w:asciiTheme="minorHAnsi" w:hAnsiTheme="minorHAnsi" w:cstheme="minorHAnsi"/>
              <w:b/>
              <w:bCs/>
              <w:i/>
              <w:iCs/>
            </w:rPr>
            <w:t>Tasyabbuh</w:t>
          </w:r>
          <w:proofErr w:type="spellEnd"/>
          <w:r w:rsidRPr="00FA3885">
            <w:rPr>
              <w:rFonts w:asciiTheme="minorHAnsi" w:hAnsiTheme="minorHAnsi" w:cstheme="minorHAnsi"/>
              <w:b/>
              <w:bCs/>
              <w:i/>
              <w:iCs/>
            </w:rPr>
            <w:t xml:space="preserve">:  Kehadiran Tokoh Islam Di Perayaan Bakar Tongkang </w:t>
          </w:r>
          <w:proofErr w:type="spellStart"/>
          <w:r w:rsidRPr="00FA3885">
            <w:rPr>
              <w:rFonts w:asciiTheme="minorHAnsi" w:hAnsiTheme="minorHAnsi" w:cstheme="minorHAnsi"/>
              <w:b/>
              <w:bCs/>
              <w:i/>
              <w:iCs/>
            </w:rPr>
            <w:t>Bagansiapiapi</w:t>
          </w:r>
          <w:proofErr w:type="spellEnd"/>
          <w:r w:rsidRPr="00FA3885">
            <w:rPr>
              <w:rFonts w:asciiTheme="minorHAnsi" w:hAnsiTheme="minorHAnsi" w:cstheme="minorHAnsi"/>
              <w:b/>
              <w:bCs/>
              <w:i/>
              <w:iCs/>
            </w:rPr>
            <w:t xml:space="preserve"> Kabupaten Rokan Hilir</w:t>
          </w:r>
        </w:p>
      </w:tc>
      <w:tc>
        <w:tcPr>
          <w:tcW w:w="322" w:type="pct"/>
        </w:tcPr>
        <w:p w14:paraId="32E96943" w14:textId="77777777" w:rsidR="002F573F" w:rsidRPr="00707475" w:rsidRDefault="002F573F" w:rsidP="000716AA">
          <w:pPr>
            <w:pStyle w:val="Header"/>
            <w:spacing w:after="0" w:line="240" w:lineRule="auto"/>
            <w:rPr>
              <w:b/>
              <w:bCs/>
            </w:rPr>
          </w:pPr>
          <w:r w:rsidRPr="00707475">
            <w:rPr>
              <w:b/>
              <w:bCs/>
            </w:rPr>
            <w:fldChar w:fldCharType="begin"/>
          </w:r>
          <w:r w:rsidRPr="00707475">
            <w:rPr>
              <w:b/>
              <w:bCs/>
            </w:rPr>
            <w:instrText xml:space="preserve"> PAGE   \* MERGEFORMAT </w:instrText>
          </w:r>
          <w:r w:rsidRPr="00707475">
            <w:rPr>
              <w:b/>
              <w:bCs/>
            </w:rPr>
            <w:fldChar w:fldCharType="separate"/>
          </w:r>
          <w:r w:rsidR="00862292">
            <w:rPr>
              <w:b/>
              <w:bCs/>
              <w:noProof/>
            </w:rPr>
            <w:t>664</w:t>
          </w:r>
          <w:r w:rsidRPr="00707475">
            <w:rPr>
              <w:b/>
              <w:bCs/>
              <w:noProof/>
            </w:rPr>
            <w:fldChar w:fldCharType="end"/>
          </w:r>
        </w:p>
      </w:tc>
    </w:tr>
  </w:tbl>
  <w:p w14:paraId="11148AC5" w14:textId="77777777" w:rsidR="00737012" w:rsidRDefault="00737012" w:rsidP="002F573F">
    <w:pPr>
      <w:pBdr>
        <w:top w:val="nil"/>
        <w:left w:val="nil"/>
        <w:bottom w:val="nil"/>
        <w:right w:val="nil"/>
        <w:between w:val="nil"/>
      </w:pBdr>
      <w:tabs>
        <w:tab w:val="center" w:pos="4153"/>
        <w:tab w:val="right" w:pos="8306"/>
      </w:tabs>
      <w:rPr>
        <w:rFonts w:cs="Calibri"/>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69A4" w14:textId="5ABB023C" w:rsidR="00737012" w:rsidRDefault="00737012">
    <w:pPr>
      <w:widowControl w:val="0"/>
      <w:pBdr>
        <w:top w:val="nil"/>
        <w:left w:val="nil"/>
        <w:bottom w:val="nil"/>
        <w:right w:val="nil"/>
        <w:between w:val="nil"/>
      </w:pBdr>
      <w:spacing w:after="0"/>
      <w:rPr>
        <w:rFonts w:cs="Calibri"/>
        <w:color w:val="000000"/>
        <w:sz w:val="2"/>
        <w:szCs w:val="2"/>
      </w:rPr>
    </w:pPr>
  </w:p>
  <w:tbl>
    <w:tblPr>
      <w:tblW w:w="5000" w:type="pct"/>
      <w:tblBorders>
        <w:insideH w:val="single" w:sz="4" w:space="0" w:color="auto"/>
        <w:insideV w:val="single" w:sz="4" w:space="0" w:color="auto"/>
      </w:tblBorders>
      <w:tblLook w:val="04A0" w:firstRow="1" w:lastRow="0" w:firstColumn="1" w:lastColumn="0" w:noHBand="0" w:noVBand="1"/>
    </w:tblPr>
    <w:tblGrid>
      <w:gridCol w:w="606"/>
      <w:gridCol w:w="8182"/>
    </w:tblGrid>
    <w:tr w:rsidR="002F573F" w:rsidRPr="00A72B06" w14:paraId="71B3B9E3" w14:textId="77777777" w:rsidTr="008B7230">
      <w:trPr>
        <w:trHeight w:val="284"/>
      </w:trPr>
      <w:tc>
        <w:tcPr>
          <w:tcW w:w="606" w:type="dxa"/>
        </w:tcPr>
        <w:p w14:paraId="2F1D795D" w14:textId="77777777" w:rsidR="002F573F" w:rsidRPr="00707475" w:rsidRDefault="002F573F" w:rsidP="002F573F">
          <w:pPr>
            <w:pStyle w:val="Header"/>
            <w:spacing w:after="0" w:line="240" w:lineRule="auto"/>
            <w:jc w:val="right"/>
            <w:rPr>
              <w:b/>
              <w:bCs/>
            </w:rPr>
          </w:pPr>
          <w:r w:rsidRPr="00707475">
            <w:rPr>
              <w:b/>
              <w:bCs/>
            </w:rPr>
            <w:fldChar w:fldCharType="begin"/>
          </w:r>
          <w:r w:rsidRPr="00707475">
            <w:rPr>
              <w:b/>
              <w:bCs/>
            </w:rPr>
            <w:instrText xml:space="preserve"> PAGE   \* MERGEFORMAT </w:instrText>
          </w:r>
          <w:r w:rsidRPr="00707475">
            <w:rPr>
              <w:b/>
              <w:bCs/>
            </w:rPr>
            <w:fldChar w:fldCharType="separate"/>
          </w:r>
          <w:r w:rsidR="00862292">
            <w:rPr>
              <w:b/>
              <w:bCs/>
              <w:noProof/>
            </w:rPr>
            <w:t>663</w:t>
          </w:r>
          <w:r w:rsidRPr="00707475">
            <w:rPr>
              <w:b/>
              <w:bCs/>
              <w:noProof/>
            </w:rPr>
            <w:fldChar w:fldCharType="end"/>
          </w:r>
        </w:p>
      </w:tc>
      <w:tc>
        <w:tcPr>
          <w:tcW w:w="8183" w:type="dxa"/>
        </w:tcPr>
        <w:p w14:paraId="18C5A766" w14:textId="4D63CF9E" w:rsidR="002F573F" w:rsidRPr="002D7A43" w:rsidRDefault="003734C5" w:rsidP="003734C5">
          <w:pPr>
            <w:pStyle w:val="Header"/>
            <w:spacing w:after="0" w:line="240" w:lineRule="auto"/>
            <w:rPr>
              <w:rFonts w:asciiTheme="minorHAnsi" w:hAnsiTheme="minorHAnsi" w:cstheme="minorHAnsi"/>
              <w:b/>
              <w:bCs/>
              <w:i/>
              <w:iCs/>
            </w:rPr>
          </w:pPr>
          <w:r w:rsidRPr="003734C5">
            <w:rPr>
              <w:rFonts w:asciiTheme="minorHAnsi" w:hAnsiTheme="minorHAnsi" w:cstheme="minorHAnsi"/>
              <w:b/>
              <w:bCs/>
              <w:i/>
              <w:iCs/>
            </w:rPr>
            <w:t>Rahma Julika</w:t>
          </w:r>
          <w:r>
            <w:rPr>
              <w:rFonts w:asciiTheme="minorHAnsi" w:hAnsiTheme="minorHAnsi" w:cstheme="minorHAnsi"/>
              <w:b/>
              <w:bCs/>
              <w:i/>
              <w:iCs/>
            </w:rPr>
            <w:t xml:space="preserve">, </w:t>
          </w:r>
          <w:r w:rsidRPr="003734C5">
            <w:rPr>
              <w:rFonts w:asciiTheme="minorHAnsi" w:hAnsiTheme="minorHAnsi" w:cstheme="minorHAnsi"/>
              <w:b/>
              <w:bCs/>
              <w:i/>
              <w:iCs/>
            </w:rPr>
            <w:t>Idris Siregar</w:t>
          </w:r>
        </w:p>
      </w:tc>
    </w:tr>
  </w:tbl>
  <w:p w14:paraId="366A98C5" w14:textId="77777777" w:rsidR="00737012" w:rsidRDefault="00737012" w:rsidP="002F573F">
    <w:pPr>
      <w:pBdr>
        <w:top w:val="nil"/>
        <w:left w:val="nil"/>
        <w:bottom w:val="nil"/>
        <w:right w:val="nil"/>
        <w:between w:val="nil"/>
      </w:pBdr>
      <w:tabs>
        <w:tab w:val="center" w:pos="4153"/>
        <w:tab w:val="right" w:pos="8306"/>
      </w:tabs>
      <w:spacing w:after="0" w:line="240" w:lineRule="auto"/>
      <w:rPr>
        <w:rFonts w:cs="Calibri"/>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AC44" w14:textId="7B7AAE17" w:rsidR="00542F31" w:rsidRPr="00707475" w:rsidRDefault="00542F31" w:rsidP="00542F31">
    <w:pPr>
      <w:pStyle w:val="Header"/>
      <w:spacing w:after="0" w:line="240" w:lineRule="auto"/>
      <w:ind w:right="-170"/>
      <w:rPr>
        <w:rFonts w:ascii="Times New Roman" w:hAnsi="Times New Roman" w:cs="Times New Roman"/>
        <w:lang w:val="sv-SE"/>
      </w:rPr>
    </w:pPr>
    <w:r w:rsidRPr="00A72B06">
      <w:rPr>
        <w:noProof/>
        <w:lang w:val="en-US" w:eastAsia="en-US"/>
      </w:rPr>
      <w:drawing>
        <wp:anchor distT="0" distB="0" distL="114300" distR="114300" simplePos="0" relativeHeight="251661312" behindDoc="0" locked="0" layoutInCell="1" allowOverlap="1" wp14:anchorId="1A7117D6" wp14:editId="393CAC15">
          <wp:simplePos x="0" y="0"/>
          <wp:positionH relativeFrom="column">
            <wp:posOffset>4330065</wp:posOffset>
          </wp:positionH>
          <wp:positionV relativeFrom="paragraph">
            <wp:posOffset>-18415</wp:posOffset>
          </wp:positionV>
          <wp:extent cx="1204154" cy="362585"/>
          <wp:effectExtent l="0" t="0" r="0" b="0"/>
          <wp:wrapNone/>
          <wp:docPr id="5" name="Picture 5" descr="Hasil gambar untuk Attribution‐ShareAlike 4.0 International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sil gambar untuk Attribution‐ShareAlike 4.0 International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856" cy="37333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707475">
      <w:rPr>
        <w:rFonts w:ascii="Times New Roman" w:hAnsi="Times New Roman" w:cs="Times New Roman"/>
        <w:b/>
        <w:lang w:val="sv-SE"/>
      </w:rPr>
      <w:t>Ta’wiluna</w:t>
    </w:r>
    <w:proofErr w:type="spellEnd"/>
    <w:r w:rsidRPr="00707475">
      <w:rPr>
        <w:rFonts w:ascii="Times New Roman" w:hAnsi="Times New Roman" w:cs="Times New Roman"/>
        <w:b/>
        <w:lang w:val="sv-SE"/>
      </w:rPr>
      <w:t xml:space="preserve">: </w:t>
    </w:r>
    <w:proofErr w:type="spellStart"/>
    <w:r w:rsidRPr="00707475">
      <w:rPr>
        <w:rFonts w:ascii="Times New Roman" w:hAnsi="Times New Roman" w:cs="Times New Roman"/>
        <w:b/>
        <w:lang w:val="sv-SE"/>
      </w:rPr>
      <w:t>Jurnal</w:t>
    </w:r>
    <w:proofErr w:type="spellEnd"/>
    <w:r w:rsidRPr="00707475">
      <w:rPr>
        <w:rFonts w:ascii="Times New Roman" w:hAnsi="Times New Roman" w:cs="Times New Roman"/>
        <w:b/>
        <w:lang w:val="sv-SE"/>
      </w:rPr>
      <w:t xml:space="preserve"> </w:t>
    </w:r>
    <w:proofErr w:type="spellStart"/>
    <w:r w:rsidRPr="00707475">
      <w:rPr>
        <w:rFonts w:ascii="Times New Roman" w:hAnsi="Times New Roman" w:cs="Times New Roman"/>
        <w:b/>
        <w:lang w:val="sv-SE"/>
      </w:rPr>
      <w:t>Ilmu</w:t>
    </w:r>
    <w:proofErr w:type="spellEnd"/>
    <w:r w:rsidRPr="00707475">
      <w:rPr>
        <w:rFonts w:ascii="Times New Roman" w:hAnsi="Times New Roman" w:cs="Times New Roman"/>
        <w:b/>
        <w:lang w:val="sv-SE"/>
      </w:rPr>
      <w:t xml:space="preserve"> Al-Qur’an</w:t>
    </w:r>
    <w:r w:rsidRPr="00A72B06">
      <w:rPr>
        <w:rFonts w:ascii="Times New Roman" w:hAnsi="Times New Roman" w:cs="Times New Roman"/>
        <w:b/>
      </w:rPr>
      <w:t>,</w:t>
    </w:r>
    <w:r w:rsidRPr="00707475">
      <w:rPr>
        <w:rFonts w:ascii="Times New Roman" w:hAnsi="Times New Roman" w:cs="Times New Roman"/>
        <w:b/>
        <w:lang w:val="sv-SE"/>
      </w:rPr>
      <w:t xml:space="preserve"> </w:t>
    </w:r>
    <w:proofErr w:type="spellStart"/>
    <w:r w:rsidRPr="00707475">
      <w:rPr>
        <w:rFonts w:ascii="Times New Roman" w:hAnsi="Times New Roman" w:cs="Times New Roman"/>
        <w:b/>
        <w:lang w:val="sv-SE"/>
      </w:rPr>
      <w:t>Tafsir</w:t>
    </w:r>
    <w:proofErr w:type="spellEnd"/>
    <w:r w:rsidRPr="00A72B06">
      <w:rPr>
        <w:rFonts w:ascii="Times New Roman" w:hAnsi="Times New Roman" w:cs="Times New Roman"/>
        <w:b/>
      </w:rPr>
      <w:t xml:space="preserve"> dan Pemikiran Islam</w:t>
    </w:r>
    <w:r w:rsidRPr="00707475">
      <w:rPr>
        <w:rFonts w:ascii="Times New Roman" w:hAnsi="Times New Roman" w:cs="Times New Roman"/>
        <w:b/>
        <w:lang w:val="sv-SE"/>
      </w:rPr>
      <w:t xml:space="preserve"> </w:t>
    </w:r>
  </w:p>
  <w:p w14:paraId="323CA650" w14:textId="43A53C64" w:rsidR="00542F31" w:rsidRPr="00A72B06" w:rsidRDefault="00542F31" w:rsidP="00542F31">
    <w:pPr>
      <w:pStyle w:val="Header"/>
      <w:spacing w:after="0" w:line="240" w:lineRule="auto"/>
      <w:ind w:right="-170"/>
      <w:rPr>
        <w:rFonts w:ascii="Times New Roman" w:hAnsi="Times New Roman" w:cs="Times New Roman"/>
        <w:lang w:val="en-US"/>
      </w:rPr>
    </w:pPr>
    <w:r w:rsidRPr="00A72B06">
      <w:rPr>
        <w:rFonts w:ascii="Times New Roman" w:hAnsi="Times New Roman" w:cs="Times New Roman"/>
        <w:lang w:val="en-US"/>
      </w:rPr>
      <w:t xml:space="preserve">Volume </w:t>
    </w:r>
    <w:r w:rsidR="00F35661">
      <w:rPr>
        <w:rFonts w:ascii="Times New Roman" w:hAnsi="Times New Roman" w:cs="Times New Roman"/>
        <w:lang w:val="en-US"/>
      </w:rPr>
      <w:t>6</w:t>
    </w:r>
    <w:r w:rsidRPr="00A72B06">
      <w:rPr>
        <w:rFonts w:ascii="Times New Roman" w:hAnsi="Times New Roman" w:cs="Times New Roman"/>
        <w:lang w:val="en-US"/>
      </w:rPr>
      <w:t xml:space="preserve"> Number </w:t>
    </w:r>
    <w:r w:rsidR="00003B42">
      <w:rPr>
        <w:rFonts w:ascii="Times New Roman" w:hAnsi="Times New Roman" w:cs="Times New Roman"/>
        <w:lang w:val="en-US"/>
      </w:rPr>
      <w:t>2</w:t>
    </w:r>
    <w:r>
      <w:rPr>
        <w:rFonts w:ascii="Times New Roman" w:hAnsi="Times New Roman" w:cs="Times New Roman"/>
      </w:rPr>
      <w:t xml:space="preserve"> </w:t>
    </w:r>
    <w:r w:rsidR="00003B42">
      <w:rPr>
        <w:rFonts w:ascii="Times New Roman" w:hAnsi="Times New Roman" w:cs="Times New Roman"/>
      </w:rPr>
      <w:t xml:space="preserve">Agustus </w:t>
    </w:r>
    <w:r w:rsidR="00F35661">
      <w:rPr>
        <w:rFonts w:ascii="Times New Roman" w:hAnsi="Times New Roman" w:cs="Times New Roman"/>
      </w:rPr>
      <w:t>2025</w:t>
    </w:r>
    <w:r w:rsidRPr="00A72B06">
      <w:rPr>
        <w:rFonts w:ascii="Times New Roman" w:hAnsi="Times New Roman" w:cs="Times New Roman"/>
        <w:lang w:val="en-US"/>
      </w:rPr>
      <w:tab/>
    </w:r>
  </w:p>
  <w:p w14:paraId="5BC51D68" w14:textId="5DBFC7A4" w:rsidR="00542F31" w:rsidRPr="00A72B06" w:rsidRDefault="00542F31" w:rsidP="00542F31">
    <w:pPr>
      <w:pStyle w:val="Header"/>
      <w:spacing w:after="0" w:line="240" w:lineRule="auto"/>
      <w:ind w:right="-170"/>
      <w:rPr>
        <w:rFonts w:ascii="Times New Roman" w:hAnsi="Times New Roman" w:cs="Times New Roman"/>
        <w:lang w:val="en-US"/>
      </w:rPr>
    </w:pPr>
    <w:r w:rsidRPr="00A72B06">
      <w:rPr>
        <w:noProof/>
        <w:lang w:val="en-US" w:eastAsia="en-US"/>
      </w:rPr>
      <mc:AlternateContent>
        <mc:Choice Requires="wps">
          <w:drawing>
            <wp:anchor distT="0" distB="0" distL="114300" distR="114300" simplePos="0" relativeHeight="251660288" behindDoc="0" locked="0" layoutInCell="1" allowOverlap="1" wp14:anchorId="0E08A038" wp14:editId="3F7F97B2">
              <wp:simplePos x="0" y="0"/>
              <wp:positionH relativeFrom="column">
                <wp:posOffset>3256915</wp:posOffset>
              </wp:positionH>
              <wp:positionV relativeFrom="paragraph">
                <wp:posOffset>15875</wp:posOffset>
              </wp:positionV>
              <wp:extent cx="2419350" cy="5213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521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71CE0" w14:textId="77777777" w:rsidR="00542F31" w:rsidRPr="005D6324" w:rsidRDefault="00542F31" w:rsidP="00542F31">
                          <w:pPr>
                            <w:spacing w:after="0" w:line="240" w:lineRule="auto"/>
                            <w:jc w:val="right"/>
                            <w:rPr>
                              <w:rFonts w:ascii="Times New Roman" w:hAnsi="Times New Roman" w:cs="Times New Roman"/>
                              <w:sz w:val="16"/>
                              <w:lang w:val="en-US"/>
                            </w:rPr>
                          </w:pPr>
                          <w:proofErr w:type="spellStart"/>
                          <w:r w:rsidRPr="005D6324">
                            <w:rPr>
                              <w:rFonts w:ascii="Times New Roman" w:hAnsi="Times New Roman" w:cs="Times New Roman"/>
                              <w:sz w:val="16"/>
                            </w:rPr>
                            <w:t>This</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work</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is</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licensed</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under</w:t>
                          </w:r>
                          <w:proofErr w:type="spellEnd"/>
                          <w:r w:rsidRPr="005D6324">
                            <w:rPr>
                              <w:rFonts w:ascii="Times New Roman" w:hAnsi="Times New Roman" w:cs="Times New Roman"/>
                              <w:sz w:val="16"/>
                            </w:rPr>
                            <w:t xml:space="preserve"> a </w:t>
                          </w:r>
                          <w:proofErr w:type="spellStart"/>
                          <w:r w:rsidRPr="005D6324">
                            <w:rPr>
                              <w:rFonts w:ascii="Times New Roman" w:hAnsi="Times New Roman" w:cs="Times New Roman"/>
                              <w:sz w:val="16"/>
                            </w:rPr>
                            <w:t>Creative</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Commons</w:t>
                          </w:r>
                          <w:proofErr w:type="spellEnd"/>
                          <w:r w:rsidRPr="005D6324">
                            <w:rPr>
                              <w:rFonts w:ascii="Times New Roman" w:hAnsi="Times New Roman" w:cs="Times New Roman"/>
                              <w:sz w:val="16"/>
                              <w:lang w:val="en-US"/>
                            </w:rPr>
                            <w:t xml:space="preserve"> </w:t>
                          </w:r>
                          <w:proofErr w:type="spellStart"/>
                          <w:r w:rsidRPr="005D6324">
                            <w:rPr>
                              <w:rFonts w:ascii="Times New Roman" w:hAnsi="Times New Roman" w:cs="Times New Roman"/>
                              <w:sz w:val="16"/>
                            </w:rPr>
                            <w:t>Attribution‐ShareAlike</w:t>
                          </w:r>
                          <w:proofErr w:type="spellEnd"/>
                          <w:r w:rsidRPr="005D6324">
                            <w:rPr>
                              <w:rFonts w:ascii="Times New Roman" w:hAnsi="Times New Roman" w:cs="Times New Roman"/>
                              <w:sz w:val="16"/>
                            </w:rPr>
                            <w:t xml:space="preserve"> 4.0 International </w:t>
                          </w:r>
                          <w:proofErr w:type="spellStart"/>
                          <w:r w:rsidRPr="005D6324">
                            <w:rPr>
                              <w:rFonts w:ascii="Times New Roman" w:hAnsi="Times New Roman" w:cs="Times New Roman"/>
                              <w:sz w:val="16"/>
                            </w:rPr>
                            <w:t>License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8A038" id="_x0000_t202" coordsize="21600,21600" o:spt="202" path="m,l,21600r21600,l21600,xe">
              <v:stroke joinstyle="miter"/>
              <v:path gradientshapeok="t" o:connecttype="rect"/>
            </v:shapetype>
            <v:shape id="Text Box 3" o:spid="_x0000_s1026" type="#_x0000_t202" style="position:absolute;margin-left:256.45pt;margin-top:1.25pt;width:190.5pt;height:4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" filled="f" stroked="f" strokeweight=".5pt">
              <v:textbox>
                <w:txbxContent>
                  <w:p w14:paraId="6F071CE0" w14:textId="77777777" w:rsidR="00542F31" w:rsidRPr="005D6324" w:rsidRDefault="00542F31" w:rsidP="00542F31">
                    <w:pPr>
                      <w:spacing w:after="0" w:line="240" w:lineRule="auto"/>
                      <w:jc w:val="right"/>
                      <w:rPr>
                        <w:rFonts w:ascii="Times New Roman" w:hAnsi="Times New Roman" w:cs="Times New Roman"/>
                        <w:sz w:val="16"/>
                        <w:lang w:val="en-US"/>
                      </w:rPr>
                    </w:pPr>
                    <w:proofErr w:type="spellStart"/>
                    <w:r w:rsidRPr="005D6324">
                      <w:rPr>
                        <w:rFonts w:ascii="Times New Roman" w:hAnsi="Times New Roman" w:cs="Times New Roman"/>
                        <w:sz w:val="16"/>
                      </w:rPr>
                      <w:t>This</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work</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is</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licensed</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under</w:t>
                    </w:r>
                    <w:proofErr w:type="spellEnd"/>
                    <w:r w:rsidRPr="005D6324">
                      <w:rPr>
                        <w:rFonts w:ascii="Times New Roman" w:hAnsi="Times New Roman" w:cs="Times New Roman"/>
                        <w:sz w:val="16"/>
                      </w:rPr>
                      <w:t xml:space="preserve"> a </w:t>
                    </w:r>
                    <w:proofErr w:type="spellStart"/>
                    <w:r w:rsidRPr="005D6324">
                      <w:rPr>
                        <w:rFonts w:ascii="Times New Roman" w:hAnsi="Times New Roman" w:cs="Times New Roman"/>
                        <w:sz w:val="16"/>
                      </w:rPr>
                      <w:t>Creative</w:t>
                    </w:r>
                    <w:proofErr w:type="spellEnd"/>
                    <w:r w:rsidRPr="005D6324">
                      <w:rPr>
                        <w:rFonts w:ascii="Times New Roman" w:hAnsi="Times New Roman" w:cs="Times New Roman"/>
                        <w:sz w:val="16"/>
                      </w:rPr>
                      <w:t xml:space="preserve"> </w:t>
                    </w:r>
                    <w:proofErr w:type="spellStart"/>
                    <w:r w:rsidRPr="005D6324">
                      <w:rPr>
                        <w:rFonts w:ascii="Times New Roman" w:hAnsi="Times New Roman" w:cs="Times New Roman"/>
                        <w:sz w:val="16"/>
                      </w:rPr>
                      <w:t>Commons</w:t>
                    </w:r>
                    <w:proofErr w:type="spellEnd"/>
                    <w:r w:rsidRPr="005D6324">
                      <w:rPr>
                        <w:rFonts w:ascii="Times New Roman" w:hAnsi="Times New Roman" w:cs="Times New Roman"/>
                        <w:sz w:val="16"/>
                        <w:lang w:val="en-US"/>
                      </w:rPr>
                      <w:t xml:space="preserve"> </w:t>
                    </w:r>
                    <w:proofErr w:type="spellStart"/>
                    <w:r w:rsidRPr="005D6324">
                      <w:rPr>
                        <w:rFonts w:ascii="Times New Roman" w:hAnsi="Times New Roman" w:cs="Times New Roman"/>
                        <w:sz w:val="16"/>
                      </w:rPr>
                      <w:t>Attribution‐ShareAlike</w:t>
                    </w:r>
                    <w:proofErr w:type="spellEnd"/>
                    <w:r w:rsidRPr="005D6324">
                      <w:rPr>
                        <w:rFonts w:ascii="Times New Roman" w:hAnsi="Times New Roman" w:cs="Times New Roman"/>
                        <w:sz w:val="16"/>
                      </w:rPr>
                      <w:t xml:space="preserve"> 4.0 International </w:t>
                    </w:r>
                    <w:proofErr w:type="spellStart"/>
                    <w:r w:rsidRPr="005D6324">
                      <w:rPr>
                        <w:rFonts w:ascii="Times New Roman" w:hAnsi="Times New Roman" w:cs="Times New Roman"/>
                        <w:sz w:val="16"/>
                      </w:rPr>
                      <w:t>License</w:t>
                    </w:r>
                    <w:proofErr w:type="spellEnd"/>
                  </w:p>
                </w:txbxContent>
              </v:textbox>
            </v:shape>
          </w:pict>
        </mc:Fallback>
      </mc:AlternateContent>
    </w:r>
    <w:r w:rsidR="00876D00">
      <w:rPr>
        <w:rFonts w:ascii="Times New Roman" w:hAnsi="Times New Roman" w:cs="Times New Roman"/>
        <w:lang w:val="en-US"/>
      </w:rPr>
      <w:t>E</w:t>
    </w:r>
    <w:r w:rsidRPr="00A72B06">
      <w:rPr>
        <w:rFonts w:ascii="Times New Roman" w:hAnsi="Times New Roman" w:cs="Times New Roman"/>
        <w:lang w:val="en-US"/>
      </w:rPr>
      <w:t>-ISSN: 2</w:t>
    </w:r>
    <w:r w:rsidRPr="00A72B06">
      <w:rPr>
        <w:rFonts w:ascii="Times New Roman" w:hAnsi="Times New Roman" w:cs="Times New Roman"/>
      </w:rPr>
      <w:t>7</w:t>
    </w:r>
    <w:r w:rsidRPr="00A72B06">
      <w:rPr>
        <w:rFonts w:ascii="Times New Roman" w:hAnsi="Times New Roman" w:cs="Times New Roman"/>
        <w:lang w:val="en-US"/>
      </w:rPr>
      <w:t>2</w:t>
    </w:r>
    <w:r w:rsidRPr="00A72B06">
      <w:rPr>
        <w:rFonts w:ascii="Times New Roman" w:hAnsi="Times New Roman" w:cs="Times New Roman"/>
      </w:rPr>
      <w:t>3</w:t>
    </w:r>
    <w:r w:rsidRPr="00A72B06">
      <w:rPr>
        <w:rFonts w:ascii="Times New Roman" w:hAnsi="Times New Roman" w:cs="Times New Roman"/>
        <w:lang w:val="en-US"/>
      </w:rPr>
      <w:t>-</w:t>
    </w:r>
    <w:r w:rsidRPr="00A72B06">
      <w:rPr>
        <w:rFonts w:ascii="Times New Roman" w:hAnsi="Times New Roman" w:cs="Times New Roman"/>
      </w:rPr>
      <w:t>0422</w:t>
    </w:r>
    <w:r w:rsidRPr="00A72B06">
      <w:t xml:space="preserve"> </w:t>
    </w:r>
    <w:r w:rsidR="00876D00" w:rsidRPr="00876D00">
      <w:rPr>
        <w:rFonts w:ascii="Times New Roman" w:hAnsi="Times New Roman" w:cs="Times New Roman"/>
      </w:rPr>
      <w:t>P-ISSN: 27230422</w:t>
    </w:r>
  </w:p>
  <w:p w14:paraId="34061086" w14:textId="3CCE3581" w:rsidR="00542F31" w:rsidRPr="00E41985" w:rsidRDefault="00542F31" w:rsidP="00542F31">
    <w:pPr>
      <w:pStyle w:val="Header"/>
      <w:spacing w:after="0" w:line="240" w:lineRule="auto"/>
      <w:ind w:right="-170"/>
      <w:rPr>
        <w:rFonts w:ascii="Times New Roman" w:hAnsi="Times New Roman" w:cs="Times New Roman"/>
        <w:sz w:val="24"/>
        <w:lang w:val="en-US"/>
      </w:rPr>
    </w:pPr>
    <w:hyperlink r:id="rId2" w:history="1">
      <w:r w:rsidRPr="00542F31">
        <w:rPr>
          <w:rStyle w:val="Hyperlink"/>
          <w:rFonts w:ascii="Times New Roman" w:hAnsi="Times New Roman" w:cs="Times New Roman"/>
          <w:color w:val="auto"/>
        </w:rPr>
        <w:t>https://ejournal.iaifa.ac.id/index.php/</w:t>
      </w:r>
    </w:hyperlink>
    <w:proofErr w:type="spellStart"/>
    <w:r w:rsidRPr="00542F31">
      <w:rPr>
        <w:rStyle w:val="Hyperlink"/>
        <w:rFonts w:ascii="Times New Roman" w:hAnsi="Times New Roman" w:cs="Times New Roman"/>
        <w:color w:val="auto"/>
        <w:lang w:val="en-US"/>
      </w:rPr>
      <w:t>takwiluna</w:t>
    </w:r>
    <w:proofErr w:type="spellEnd"/>
  </w:p>
  <w:p w14:paraId="3511EB25" w14:textId="4DE772B3" w:rsidR="00737012" w:rsidRPr="00542F31" w:rsidRDefault="00ED3D80" w:rsidP="00542F31">
    <w:pPr>
      <w:pStyle w:val="Header"/>
      <w:spacing w:after="0" w:line="240" w:lineRule="auto"/>
      <w:ind w:right="-170"/>
    </w:pPr>
    <w:r w:rsidRPr="00A72B06">
      <w:rPr>
        <w:noProof/>
        <w:lang w:val="en-US" w:eastAsia="en-US"/>
      </w:rPr>
      <mc:AlternateContent>
        <mc:Choice Requires="wps">
          <w:drawing>
            <wp:anchor distT="4294967295" distB="4294967295" distL="114300" distR="114300" simplePos="0" relativeHeight="251659264" behindDoc="0" locked="0" layoutInCell="1" allowOverlap="1" wp14:anchorId="57E5B0C9" wp14:editId="608FA806">
              <wp:simplePos x="0" y="0"/>
              <wp:positionH relativeFrom="column">
                <wp:posOffset>18415</wp:posOffset>
              </wp:positionH>
              <wp:positionV relativeFrom="paragraph">
                <wp:posOffset>151765</wp:posOffset>
              </wp:positionV>
              <wp:extent cx="55562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62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B30B10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5pt,11.95pt" to="438.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" strokecolor="black [3213]"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38A"/>
    <w:multiLevelType w:val="hybridMultilevel"/>
    <w:tmpl w:val="71B80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F4B26"/>
    <w:multiLevelType w:val="hybridMultilevel"/>
    <w:tmpl w:val="9514C612"/>
    <w:lvl w:ilvl="0" w:tplc="9EC454C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87F319B"/>
    <w:multiLevelType w:val="hybridMultilevel"/>
    <w:tmpl w:val="8304908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93D2224"/>
    <w:multiLevelType w:val="hybridMultilevel"/>
    <w:tmpl w:val="91CCD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623A9"/>
    <w:multiLevelType w:val="hybridMultilevel"/>
    <w:tmpl w:val="91DE82D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B806019"/>
    <w:multiLevelType w:val="hybridMultilevel"/>
    <w:tmpl w:val="D0C48E1A"/>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0CCB6CB4"/>
    <w:multiLevelType w:val="hybridMultilevel"/>
    <w:tmpl w:val="85DE3F42"/>
    <w:lvl w:ilvl="0" w:tplc="56C89E76">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4F1904"/>
    <w:multiLevelType w:val="hybridMultilevel"/>
    <w:tmpl w:val="5B1C98A6"/>
    <w:lvl w:ilvl="0" w:tplc="C526D800">
      <w:start w:val="1"/>
      <w:numFmt w:val="upperLetter"/>
      <w:lvlText w:val="%1."/>
      <w:lvlJc w:val="left"/>
      <w:pPr>
        <w:ind w:left="1080" w:hanging="360"/>
      </w:pPr>
      <w:rPr>
        <w:rFonts w:ascii="Times New Roman" w:eastAsiaTheme="majorEastAsia" w:hAnsi="Times New Roman" w:cs="Times New Roman" w:hint="default"/>
      </w:rPr>
    </w:lvl>
    <w:lvl w:ilvl="1" w:tplc="38090019">
      <w:start w:val="1"/>
      <w:numFmt w:val="lowerLetter"/>
      <w:lvlText w:val="%2."/>
      <w:lvlJc w:val="left"/>
      <w:pPr>
        <w:ind w:left="1800" w:hanging="360"/>
      </w:pPr>
    </w:lvl>
    <w:lvl w:ilvl="2" w:tplc="461C2F7E">
      <w:start w:val="1"/>
      <w:numFmt w:val="decimal"/>
      <w:lvlText w:val="%3)"/>
      <w:lvlJc w:val="left"/>
      <w:pPr>
        <w:ind w:left="2700" w:hanging="360"/>
      </w:pPr>
      <w:rPr>
        <w:rFonts w:hint="default"/>
      </w:rPr>
    </w:lvl>
    <w:lvl w:ilvl="3" w:tplc="4CBC49BA">
      <w:start w:val="1"/>
      <w:numFmt w:val="decimal"/>
      <w:lvlText w:val="%4."/>
      <w:lvlJc w:val="left"/>
      <w:pPr>
        <w:ind w:left="3240" w:hanging="360"/>
      </w:pPr>
      <w:rPr>
        <w:rFonts w:hint="default"/>
      </w:r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FA71CF9"/>
    <w:multiLevelType w:val="hybridMultilevel"/>
    <w:tmpl w:val="CA7EC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213AF"/>
    <w:multiLevelType w:val="hybridMultilevel"/>
    <w:tmpl w:val="1110126C"/>
    <w:lvl w:ilvl="0" w:tplc="096E017E">
      <w:start w:val="1"/>
      <w:numFmt w:val="decimal"/>
      <w:lvlText w:val="%1."/>
      <w:lvlJc w:val="left"/>
      <w:pPr>
        <w:ind w:left="450" w:hanging="360"/>
      </w:pPr>
      <w:rPr>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3753651"/>
    <w:multiLevelType w:val="hybridMultilevel"/>
    <w:tmpl w:val="75443A3A"/>
    <w:lvl w:ilvl="0" w:tplc="A60811C8">
      <w:start w:val="1"/>
      <w:numFmt w:val="decimal"/>
      <w:lvlText w:val="%1."/>
      <w:lvlJc w:val="left"/>
      <w:pPr>
        <w:ind w:left="1440" w:hanging="360"/>
      </w:pPr>
      <w:rPr>
        <w:rFonts w:hint="default"/>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13D63FFC"/>
    <w:multiLevelType w:val="multilevel"/>
    <w:tmpl w:val="239EC11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16A01EA7"/>
    <w:multiLevelType w:val="hybridMultilevel"/>
    <w:tmpl w:val="4B7A037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C5057DF"/>
    <w:multiLevelType w:val="hybridMultilevel"/>
    <w:tmpl w:val="818C4D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17713C3"/>
    <w:multiLevelType w:val="multilevel"/>
    <w:tmpl w:val="8E945B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640C71"/>
    <w:multiLevelType w:val="hybridMultilevel"/>
    <w:tmpl w:val="F33C06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34224E"/>
    <w:multiLevelType w:val="hybridMultilevel"/>
    <w:tmpl w:val="1C58C716"/>
    <w:lvl w:ilvl="0" w:tplc="0421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867511"/>
    <w:multiLevelType w:val="hybridMultilevel"/>
    <w:tmpl w:val="A078C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AD45E0"/>
    <w:multiLevelType w:val="multilevel"/>
    <w:tmpl w:val="D56646A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336740C7"/>
    <w:multiLevelType w:val="multilevel"/>
    <w:tmpl w:val="9C8425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EE73DB"/>
    <w:multiLevelType w:val="hybridMultilevel"/>
    <w:tmpl w:val="B9626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0D0410"/>
    <w:multiLevelType w:val="hybridMultilevel"/>
    <w:tmpl w:val="D3202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EC6105"/>
    <w:multiLevelType w:val="hybridMultilevel"/>
    <w:tmpl w:val="0C14C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9875BF"/>
    <w:multiLevelType w:val="multilevel"/>
    <w:tmpl w:val="D098F6D2"/>
    <w:lvl w:ilvl="0">
      <w:start w:val="1"/>
      <w:numFmt w:val="upp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BF73E54"/>
    <w:multiLevelType w:val="hybridMultilevel"/>
    <w:tmpl w:val="4C441D60"/>
    <w:lvl w:ilvl="0" w:tplc="4162D2F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374252"/>
    <w:multiLevelType w:val="hybridMultilevel"/>
    <w:tmpl w:val="58E016F6"/>
    <w:lvl w:ilvl="0" w:tplc="0421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0814516"/>
    <w:multiLevelType w:val="hybridMultilevel"/>
    <w:tmpl w:val="A418DB06"/>
    <w:lvl w:ilvl="0" w:tplc="03A4FA7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24C1861"/>
    <w:multiLevelType w:val="hybridMultilevel"/>
    <w:tmpl w:val="5818E84C"/>
    <w:lvl w:ilvl="0" w:tplc="50D0C124">
      <w:start w:val="1"/>
      <w:numFmt w:val="decimal"/>
      <w:lvlText w:val="%1."/>
      <w:lvlJc w:val="left"/>
      <w:pPr>
        <w:ind w:left="644" w:hanging="360"/>
      </w:pPr>
      <w:rPr>
        <w:rFonts w:ascii="Times" w:eastAsia="Times" w:hAnsi="Times" w:cs="Times"/>
        <w:i w:val="0"/>
        <w:i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3E447CF"/>
    <w:multiLevelType w:val="hybridMultilevel"/>
    <w:tmpl w:val="358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860DE2"/>
    <w:multiLevelType w:val="hybridMultilevel"/>
    <w:tmpl w:val="70B40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6B7280B"/>
    <w:multiLevelType w:val="hybridMultilevel"/>
    <w:tmpl w:val="BCD26FD4"/>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77D46EF"/>
    <w:multiLevelType w:val="hybridMultilevel"/>
    <w:tmpl w:val="E84891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EE0907"/>
    <w:multiLevelType w:val="hybridMultilevel"/>
    <w:tmpl w:val="DC369584"/>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3" w15:restartNumberingAfterBreak="0">
    <w:nsid w:val="530C4A87"/>
    <w:multiLevelType w:val="hybridMultilevel"/>
    <w:tmpl w:val="A7363DF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8FE5029"/>
    <w:multiLevelType w:val="hybridMultilevel"/>
    <w:tmpl w:val="F188B714"/>
    <w:lvl w:ilvl="0" w:tplc="3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E17872"/>
    <w:multiLevelType w:val="hybridMultilevel"/>
    <w:tmpl w:val="1AF6B53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6" w15:restartNumberingAfterBreak="0">
    <w:nsid w:val="6B822E5C"/>
    <w:multiLevelType w:val="hybridMultilevel"/>
    <w:tmpl w:val="F912EAFE"/>
    <w:lvl w:ilvl="0" w:tplc="7BB66AFE">
      <w:start w:val="1"/>
      <w:numFmt w:val="decimal"/>
      <w:lvlText w:val="%1."/>
      <w:lvlJc w:val="left"/>
      <w:pPr>
        <w:ind w:left="1800" w:hanging="360"/>
      </w:pPr>
      <w:rPr>
        <w:rFonts w:hint="default"/>
        <w:b w:val="0"/>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7" w15:restartNumberingAfterBreak="0">
    <w:nsid w:val="6E6A24DA"/>
    <w:multiLevelType w:val="multilevel"/>
    <w:tmpl w:val="0A34D106"/>
    <w:lvl w:ilvl="0">
      <w:start w:val="1"/>
      <w:numFmt w:val="decimal"/>
      <w:lvlText w:val="%1."/>
      <w:lvlJc w:val="left"/>
      <w:pPr>
        <w:ind w:left="2160" w:hanging="360"/>
      </w:pPr>
      <w:rPr>
        <w:rFonts w:ascii="Times" w:eastAsia="Times" w:hAnsi="Times" w:cs="Times"/>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8" w15:restartNumberingAfterBreak="0">
    <w:nsid w:val="72185616"/>
    <w:multiLevelType w:val="hybridMultilevel"/>
    <w:tmpl w:val="B6A0878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9" w15:restartNumberingAfterBreak="0">
    <w:nsid w:val="734D26AA"/>
    <w:multiLevelType w:val="hybridMultilevel"/>
    <w:tmpl w:val="10004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7902EE"/>
    <w:multiLevelType w:val="hybridMultilevel"/>
    <w:tmpl w:val="C2168276"/>
    <w:lvl w:ilvl="0" w:tplc="0421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9F509B7"/>
    <w:multiLevelType w:val="hybridMultilevel"/>
    <w:tmpl w:val="5A7E0680"/>
    <w:lvl w:ilvl="0" w:tplc="6CFA0EE2">
      <w:start w:val="1"/>
      <w:numFmt w:val="decimal"/>
      <w:lvlText w:val="%1."/>
      <w:lvlJc w:val="left"/>
      <w:pPr>
        <w:ind w:left="927" w:hanging="360"/>
      </w:pPr>
    </w:lvl>
    <w:lvl w:ilvl="1" w:tplc="38090019">
      <w:start w:val="1"/>
      <w:numFmt w:val="lowerLetter"/>
      <w:lvlText w:val="%2."/>
      <w:lvlJc w:val="left"/>
      <w:pPr>
        <w:ind w:left="1647" w:hanging="360"/>
      </w:pPr>
    </w:lvl>
    <w:lvl w:ilvl="2" w:tplc="3809001B">
      <w:start w:val="1"/>
      <w:numFmt w:val="lowerRoman"/>
      <w:lvlText w:val="%3."/>
      <w:lvlJc w:val="right"/>
      <w:pPr>
        <w:ind w:left="2367" w:hanging="180"/>
      </w:pPr>
    </w:lvl>
    <w:lvl w:ilvl="3" w:tplc="3809000F">
      <w:start w:val="1"/>
      <w:numFmt w:val="decimal"/>
      <w:lvlText w:val="%4."/>
      <w:lvlJc w:val="left"/>
      <w:pPr>
        <w:ind w:left="3087" w:hanging="360"/>
      </w:pPr>
    </w:lvl>
    <w:lvl w:ilvl="4" w:tplc="38090019">
      <w:start w:val="1"/>
      <w:numFmt w:val="lowerLetter"/>
      <w:lvlText w:val="%5."/>
      <w:lvlJc w:val="left"/>
      <w:pPr>
        <w:ind w:left="3807" w:hanging="360"/>
      </w:pPr>
    </w:lvl>
    <w:lvl w:ilvl="5" w:tplc="3809001B">
      <w:start w:val="1"/>
      <w:numFmt w:val="lowerRoman"/>
      <w:lvlText w:val="%6."/>
      <w:lvlJc w:val="right"/>
      <w:pPr>
        <w:ind w:left="4527" w:hanging="180"/>
      </w:pPr>
    </w:lvl>
    <w:lvl w:ilvl="6" w:tplc="3809000F">
      <w:start w:val="1"/>
      <w:numFmt w:val="decimal"/>
      <w:lvlText w:val="%7."/>
      <w:lvlJc w:val="left"/>
      <w:pPr>
        <w:ind w:left="5247" w:hanging="360"/>
      </w:pPr>
    </w:lvl>
    <w:lvl w:ilvl="7" w:tplc="38090019">
      <w:start w:val="1"/>
      <w:numFmt w:val="lowerLetter"/>
      <w:lvlText w:val="%8."/>
      <w:lvlJc w:val="left"/>
      <w:pPr>
        <w:ind w:left="5967" w:hanging="360"/>
      </w:pPr>
    </w:lvl>
    <w:lvl w:ilvl="8" w:tplc="3809001B">
      <w:start w:val="1"/>
      <w:numFmt w:val="lowerRoman"/>
      <w:lvlText w:val="%9."/>
      <w:lvlJc w:val="right"/>
      <w:pPr>
        <w:ind w:left="6687" w:hanging="180"/>
      </w:pPr>
    </w:lvl>
  </w:abstractNum>
  <w:num w:numId="1" w16cid:durableId="14941803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624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112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659189">
    <w:abstractNumId w:val="19"/>
  </w:num>
  <w:num w:numId="5" w16cid:durableId="860508501">
    <w:abstractNumId w:val="21"/>
  </w:num>
  <w:num w:numId="6" w16cid:durableId="643703244">
    <w:abstractNumId w:val="33"/>
  </w:num>
  <w:num w:numId="7" w16cid:durableId="1129784149">
    <w:abstractNumId w:val="6"/>
  </w:num>
  <w:num w:numId="8" w16cid:durableId="915212029">
    <w:abstractNumId w:val="37"/>
  </w:num>
  <w:num w:numId="9" w16cid:durableId="1877232085">
    <w:abstractNumId w:val="23"/>
  </w:num>
  <w:num w:numId="10" w16cid:durableId="360132082">
    <w:abstractNumId w:val="18"/>
  </w:num>
  <w:num w:numId="11" w16cid:durableId="395907189">
    <w:abstractNumId w:val="14"/>
  </w:num>
  <w:num w:numId="12" w16cid:durableId="1797333788">
    <w:abstractNumId w:val="0"/>
  </w:num>
  <w:num w:numId="13" w16cid:durableId="110445219">
    <w:abstractNumId w:val="8"/>
  </w:num>
  <w:num w:numId="14" w16cid:durableId="670792729">
    <w:abstractNumId w:val="11"/>
  </w:num>
  <w:num w:numId="15" w16cid:durableId="1697459974">
    <w:abstractNumId w:val="27"/>
  </w:num>
  <w:num w:numId="16" w16cid:durableId="309865054">
    <w:abstractNumId w:val="7"/>
  </w:num>
  <w:num w:numId="17" w16cid:durableId="2063866275">
    <w:abstractNumId w:val="10"/>
  </w:num>
  <w:num w:numId="18" w16cid:durableId="375737180">
    <w:abstractNumId w:val="2"/>
  </w:num>
  <w:num w:numId="19" w16cid:durableId="175773376">
    <w:abstractNumId w:val="1"/>
  </w:num>
  <w:num w:numId="20" w16cid:durableId="1941834305">
    <w:abstractNumId w:val="9"/>
  </w:num>
  <w:num w:numId="21" w16cid:durableId="899285937">
    <w:abstractNumId w:val="22"/>
  </w:num>
  <w:num w:numId="22" w16cid:durableId="1424838457">
    <w:abstractNumId w:val="12"/>
  </w:num>
  <w:num w:numId="23" w16cid:durableId="1236863950">
    <w:abstractNumId w:val="30"/>
  </w:num>
  <w:num w:numId="24" w16cid:durableId="913977218">
    <w:abstractNumId w:val="36"/>
  </w:num>
  <w:num w:numId="25" w16cid:durableId="1628581423">
    <w:abstractNumId w:val="35"/>
  </w:num>
  <w:num w:numId="26" w16cid:durableId="791944249">
    <w:abstractNumId w:val="38"/>
  </w:num>
  <w:num w:numId="27" w16cid:durableId="595946872">
    <w:abstractNumId w:val="40"/>
  </w:num>
  <w:num w:numId="28" w16cid:durableId="1224023920">
    <w:abstractNumId w:val="25"/>
  </w:num>
  <w:num w:numId="29" w16cid:durableId="1435050467">
    <w:abstractNumId w:val="5"/>
  </w:num>
  <w:num w:numId="30" w16cid:durableId="1062098182">
    <w:abstractNumId w:val="16"/>
  </w:num>
  <w:num w:numId="31" w16cid:durableId="1521092337">
    <w:abstractNumId w:val="4"/>
  </w:num>
  <w:num w:numId="32" w16cid:durableId="1475829510">
    <w:abstractNumId w:val="24"/>
  </w:num>
  <w:num w:numId="33" w16cid:durableId="311837600">
    <w:abstractNumId w:val="39"/>
  </w:num>
  <w:num w:numId="34" w16cid:durableId="880626769">
    <w:abstractNumId w:val="3"/>
  </w:num>
  <w:num w:numId="35" w16cid:durableId="1798328563">
    <w:abstractNumId w:val="31"/>
  </w:num>
  <w:num w:numId="36" w16cid:durableId="2086487134">
    <w:abstractNumId w:val="20"/>
  </w:num>
  <w:num w:numId="37" w16cid:durableId="197473208">
    <w:abstractNumId w:val="28"/>
  </w:num>
  <w:num w:numId="38" w16cid:durableId="1734042809">
    <w:abstractNumId w:val="17"/>
  </w:num>
  <w:num w:numId="39" w16cid:durableId="936788565">
    <w:abstractNumId w:val="29"/>
  </w:num>
  <w:num w:numId="40" w16cid:durableId="410734577">
    <w:abstractNumId w:val="34"/>
  </w:num>
  <w:num w:numId="41" w16cid:durableId="521944154">
    <w:abstractNumId w:val="26"/>
  </w:num>
  <w:num w:numId="42" w16cid:durableId="1651790061">
    <w:abstractNumId w:val="15"/>
  </w:num>
  <w:num w:numId="43" w16cid:durableId="65746646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12"/>
    <w:rsid w:val="00003B42"/>
    <w:rsid w:val="0002525F"/>
    <w:rsid w:val="0002526E"/>
    <w:rsid w:val="0002670C"/>
    <w:rsid w:val="00031949"/>
    <w:rsid w:val="00043DA6"/>
    <w:rsid w:val="00046F21"/>
    <w:rsid w:val="00063F3B"/>
    <w:rsid w:val="00064AF5"/>
    <w:rsid w:val="00067A62"/>
    <w:rsid w:val="000716AA"/>
    <w:rsid w:val="000729FB"/>
    <w:rsid w:val="000756F2"/>
    <w:rsid w:val="000B17AF"/>
    <w:rsid w:val="000B4380"/>
    <w:rsid w:val="000B7FC8"/>
    <w:rsid w:val="000D6764"/>
    <w:rsid w:val="000F01D4"/>
    <w:rsid w:val="000F07FF"/>
    <w:rsid w:val="000F6278"/>
    <w:rsid w:val="00102925"/>
    <w:rsid w:val="001100BB"/>
    <w:rsid w:val="001151FF"/>
    <w:rsid w:val="00115FE7"/>
    <w:rsid w:val="00122AE8"/>
    <w:rsid w:val="00130512"/>
    <w:rsid w:val="00143AD4"/>
    <w:rsid w:val="001514D3"/>
    <w:rsid w:val="0015780F"/>
    <w:rsid w:val="00166F81"/>
    <w:rsid w:val="00174C3E"/>
    <w:rsid w:val="00193A71"/>
    <w:rsid w:val="00197867"/>
    <w:rsid w:val="001A2A14"/>
    <w:rsid w:val="001A6B58"/>
    <w:rsid w:val="001B1F21"/>
    <w:rsid w:val="001C41DD"/>
    <w:rsid w:val="001D081D"/>
    <w:rsid w:val="001D45CA"/>
    <w:rsid w:val="001E16C1"/>
    <w:rsid w:val="002106B0"/>
    <w:rsid w:val="00220E6B"/>
    <w:rsid w:val="00222B33"/>
    <w:rsid w:val="00225A9D"/>
    <w:rsid w:val="00237761"/>
    <w:rsid w:val="002405F6"/>
    <w:rsid w:val="0024485C"/>
    <w:rsid w:val="002566B3"/>
    <w:rsid w:val="00256878"/>
    <w:rsid w:val="002806D2"/>
    <w:rsid w:val="002914ED"/>
    <w:rsid w:val="002B45E9"/>
    <w:rsid w:val="002C6B8A"/>
    <w:rsid w:val="002D690F"/>
    <w:rsid w:val="002D6B0D"/>
    <w:rsid w:val="002D7A43"/>
    <w:rsid w:val="002E1996"/>
    <w:rsid w:val="002E5A80"/>
    <w:rsid w:val="002F3C4F"/>
    <w:rsid w:val="002F573F"/>
    <w:rsid w:val="00312D2B"/>
    <w:rsid w:val="0032167C"/>
    <w:rsid w:val="00322D10"/>
    <w:rsid w:val="003250C2"/>
    <w:rsid w:val="00332CB5"/>
    <w:rsid w:val="00337FB9"/>
    <w:rsid w:val="0034278D"/>
    <w:rsid w:val="00357A0F"/>
    <w:rsid w:val="00363F17"/>
    <w:rsid w:val="003722FE"/>
    <w:rsid w:val="003734C5"/>
    <w:rsid w:val="00381C27"/>
    <w:rsid w:val="003836B3"/>
    <w:rsid w:val="00385547"/>
    <w:rsid w:val="0039667F"/>
    <w:rsid w:val="0039794E"/>
    <w:rsid w:val="003A1A47"/>
    <w:rsid w:val="003B1077"/>
    <w:rsid w:val="003B6D37"/>
    <w:rsid w:val="003B7142"/>
    <w:rsid w:val="003E1255"/>
    <w:rsid w:val="003E7533"/>
    <w:rsid w:val="003F2358"/>
    <w:rsid w:val="003F3E85"/>
    <w:rsid w:val="00420F72"/>
    <w:rsid w:val="00433571"/>
    <w:rsid w:val="0045031D"/>
    <w:rsid w:val="00450AC2"/>
    <w:rsid w:val="00486B64"/>
    <w:rsid w:val="00491C0B"/>
    <w:rsid w:val="00494FA3"/>
    <w:rsid w:val="00495270"/>
    <w:rsid w:val="004E668D"/>
    <w:rsid w:val="004F52CF"/>
    <w:rsid w:val="00503D10"/>
    <w:rsid w:val="005052A1"/>
    <w:rsid w:val="00521BBA"/>
    <w:rsid w:val="00523C47"/>
    <w:rsid w:val="00530015"/>
    <w:rsid w:val="00532A3A"/>
    <w:rsid w:val="005404DA"/>
    <w:rsid w:val="00541F6E"/>
    <w:rsid w:val="00542F31"/>
    <w:rsid w:val="0054354F"/>
    <w:rsid w:val="00557854"/>
    <w:rsid w:val="00564981"/>
    <w:rsid w:val="00566B0D"/>
    <w:rsid w:val="0057569E"/>
    <w:rsid w:val="005921D0"/>
    <w:rsid w:val="005A038D"/>
    <w:rsid w:val="005A308A"/>
    <w:rsid w:val="005B1200"/>
    <w:rsid w:val="005C2673"/>
    <w:rsid w:val="005D2CB0"/>
    <w:rsid w:val="005D75B3"/>
    <w:rsid w:val="005E2643"/>
    <w:rsid w:val="005E45F0"/>
    <w:rsid w:val="005F0D42"/>
    <w:rsid w:val="00601D0E"/>
    <w:rsid w:val="00604BB9"/>
    <w:rsid w:val="00604D8E"/>
    <w:rsid w:val="0061137E"/>
    <w:rsid w:val="00616C2E"/>
    <w:rsid w:val="0062427A"/>
    <w:rsid w:val="006508F6"/>
    <w:rsid w:val="00656AE3"/>
    <w:rsid w:val="00663AEB"/>
    <w:rsid w:val="00670BFB"/>
    <w:rsid w:val="00671047"/>
    <w:rsid w:val="00676857"/>
    <w:rsid w:val="0069196B"/>
    <w:rsid w:val="006C60E9"/>
    <w:rsid w:val="006E632A"/>
    <w:rsid w:val="006F3545"/>
    <w:rsid w:val="00702051"/>
    <w:rsid w:val="0070431B"/>
    <w:rsid w:val="0072461D"/>
    <w:rsid w:val="0072763E"/>
    <w:rsid w:val="00734451"/>
    <w:rsid w:val="00735D07"/>
    <w:rsid w:val="00736EF8"/>
    <w:rsid w:val="00737012"/>
    <w:rsid w:val="00751C0B"/>
    <w:rsid w:val="00760A4C"/>
    <w:rsid w:val="00766074"/>
    <w:rsid w:val="00777C25"/>
    <w:rsid w:val="007818EA"/>
    <w:rsid w:val="007862C8"/>
    <w:rsid w:val="007914FA"/>
    <w:rsid w:val="00792F61"/>
    <w:rsid w:val="00792F98"/>
    <w:rsid w:val="007B0529"/>
    <w:rsid w:val="007B5B44"/>
    <w:rsid w:val="007E3EBF"/>
    <w:rsid w:val="007E6646"/>
    <w:rsid w:val="007E740D"/>
    <w:rsid w:val="007F09A3"/>
    <w:rsid w:val="008021FB"/>
    <w:rsid w:val="00824B2A"/>
    <w:rsid w:val="00824B8D"/>
    <w:rsid w:val="008346AF"/>
    <w:rsid w:val="00834F22"/>
    <w:rsid w:val="008440FA"/>
    <w:rsid w:val="0084551F"/>
    <w:rsid w:val="00850365"/>
    <w:rsid w:val="00851794"/>
    <w:rsid w:val="008540D6"/>
    <w:rsid w:val="00862292"/>
    <w:rsid w:val="00865F71"/>
    <w:rsid w:val="00876D00"/>
    <w:rsid w:val="0088200E"/>
    <w:rsid w:val="00885054"/>
    <w:rsid w:val="008A6B8C"/>
    <w:rsid w:val="008B205C"/>
    <w:rsid w:val="008B7230"/>
    <w:rsid w:val="008C3848"/>
    <w:rsid w:val="008D218B"/>
    <w:rsid w:val="008D5D63"/>
    <w:rsid w:val="008D7168"/>
    <w:rsid w:val="00904CB4"/>
    <w:rsid w:val="00911212"/>
    <w:rsid w:val="00921DD6"/>
    <w:rsid w:val="00935275"/>
    <w:rsid w:val="00936D3C"/>
    <w:rsid w:val="00947275"/>
    <w:rsid w:val="00953F91"/>
    <w:rsid w:val="0098233B"/>
    <w:rsid w:val="00984858"/>
    <w:rsid w:val="009906FF"/>
    <w:rsid w:val="00992DC7"/>
    <w:rsid w:val="00995337"/>
    <w:rsid w:val="009A0170"/>
    <w:rsid w:val="009A0200"/>
    <w:rsid w:val="009A3557"/>
    <w:rsid w:val="009A404F"/>
    <w:rsid w:val="009A788B"/>
    <w:rsid w:val="009B1629"/>
    <w:rsid w:val="009C39A8"/>
    <w:rsid w:val="009C5EA9"/>
    <w:rsid w:val="009D1241"/>
    <w:rsid w:val="009F7545"/>
    <w:rsid w:val="00A00CBC"/>
    <w:rsid w:val="00A01FFD"/>
    <w:rsid w:val="00A05B3C"/>
    <w:rsid w:val="00A12383"/>
    <w:rsid w:val="00A1323C"/>
    <w:rsid w:val="00A23A00"/>
    <w:rsid w:val="00A533A3"/>
    <w:rsid w:val="00A61242"/>
    <w:rsid w:val="00A6164C"/>
    <w:rsid w:val="00A767C7"/>
    <w:rsid w:val="00A76AE4"/>
    <w:rsid w:val="00A82329"/>
    <w:rsid w:val="00A90683"/>
    <w:rsid w:val="00A91C12"/>
    <w:rsid w:val="00AA273C"/>
    <w:rsid w:val="00AB0574"/>
    <w:rsid w:val="00AE6EB4"/>
    <w:rsid w:val="00AF1205"/>
    <w:rsid w:val="00B3582B"/>
    <w:rsid w:val="00B36B0B"/>
    <w:rsid w:val="00B451A4"/>
    <w:rsid w:val="00B5628B"/>
    <w:rsid w:val="00B61CA0"/>
    <w:rsid w:val="00BB1FEA"/>
    <w:rsid w:val="00BC5BF3"/>
    <w:rsid w:val="00BD0AB3"/>
    <w:rsid w:val="00BE4EEC"/>
    <w:rsid w:val="00BF29B8"/>
    <w:rsid w:val="00BF2B2F"/>
    <w:rsid w:val="00BF4175"/>
    <w:rsid w:val="00BF6118"/>
    <w:rsid w:val="00C044DF"/>
    <w:rsid w:val="00C14625"/>
    <w:rsid w:val="00C15C6C"/>
    <w:rsid w:val="00C23812"/>
    <w:rsid w:val="00C40787"/>
    <w:rsid w:val="00C51C48"/>
    <w:rsid w:val="00C73378"/>
    <w:rsid w:val="00C75008"/>
    <w:rsid w:val="00C93E82"/>
    <w:rsid w:val="00C97A08"/>
    <w:rsid w:val="00CA1811"/>
    <w:rsid w:val="00CA7ADF"/>
    <w:rsid w:val="00CC65BD"/>
    <w:rsid w:val="00CD01F1"/>
    <w:rsid w:val="00CD1E8A"/>
    <w:rsid w:val="00CD51D8"/>
    <w:rsid w:val="00CD52EC"/>
    <w:rsid w:val="00CE2258"/>
    <w:rsid w:val="00CE4F5A"/>
    <w:rsid w:val="00CE7EDB"/>
    <w:rsid w:val="00D02799"/>
    <w:rsid w:val="00D04C17"/>
    <w:rsid w:val="00D137D1"/>
    <w:rsid w:val="00D162FC"/>
    <w:rsid w:val="00D2471A"/>
    <w:rsid w:val="00D352CC"/>
    <w:rsid w:val="00D40F2B"/>
    <w:rsid w:val="00D43EA4"/>
    <w:rsid w:val="00D53635"/>
    <w:rsid w:val="00D55259"/>
    <w:rsid w:val="00D57552"/>
    <w:rsid w:val="00D70F29"/>
    <w:rsid w:val="00D73DDA"/>
    <w:rsid w:val="00D77BE8"/>
    <w:rsid w:val="00D87DF7"/>
    <w:rsid w:val="00D924D9"/>
    <w:rsid w:val="00DA2A61"/>
    <w:rsid w:val="00DB66D4"/>
    <w:rsid w:val="00DC2BAB"/>
    <w:rsid w:val="00DC4DB1"/>
    <w:rsid w:val="00DC716B"/>
    <w:rsid w:val="00DD2237"/>
    <w:rsid w:val="00DD30D4"/>
    <w:rsid w:val="00DD70C1"/>
    <w:rsid w:val="00E049EE"/>
    <w:rsid w:val="00E112AB"/>
    <w:rsid w:val="00E11CE1"/>
    <w:rsid w:val="00E12C88"/>
    <w:rsid w:val="00E150EB"/>
    <w:rsid w:val="00E16B58"/>
    <w:rsid w:val="00E2381C"/>
    <w:rsid w:val="00E323F3"/>
    <w:rsid w:val="00E47D62"/>
    <w:rsid w:val="00E5213A"/>
    <w:rsid w:val="00E5523D"/>
    <w:rsid w:val="00E7241A"/>
    <w:rsid w:val="00E75101"/>
    <w:rsid w:val="00E81AD0"/>
    <w:rsid w:val="00E82C07"/>
    <w:rsid w:val="00E87312"/>
    <w:rsid w:val="00E978F8"/>
    <w:rsid w:val="00EA402D"/>
    <w:rsid w:val="00ED3A38"/>
    <w:rsid w:val="00ED3D80"/>
    <w:rsid w:val="00ED52BD"/>
    <w:rsid w:val="00EF0B23"/>
    <w:rsid w:val="00EF1734"/>
    <w:rsid w:val="00EF2373"/>
    <w:rsid w:val="00F0202A"/>
    <w:rsid w:val="00F330C4"/>
    <w:rsid w:val="00F35661"/>
    <w:rsid w:val="00F439AE"/>
    <w:rsid w:val="00F44F0C"/>
    <w:rsid w:val="00F55345"/>
    <w:rsid w:val="00F6007E"/>
    <w:rsid w:val="00F705F5"/>
    <w:rsid w:val="00F7626F"/>
    <w:rsid w:val="00F84BA9"/>
    <w:rsid w:val="00F92267"/>
    <w:rsid w:val="00FA0498"/>
    <w:rsid w:val="00FA3885"/>
    <w:rsid w:val="00FC566A"/>
    <w:rsid w:val="00FF0A87"/>
    <w:rsid w:val="00FF1998"/>
    <w:rsid w:val="00FF7EB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46C55"/>
  <w15:docId w15:val="{A640D9B5-6D19-4587-B0FA-881B063A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31D"/>
    <w:rPr>
      <w:rFonts w:cs="Arial"/>
      <w:lang w:val="id-ID"/>
    </w:rPr>
  </w:style>
  <w:style w:type="paragraph" w:styleId="Judul1">
    <w:name w:val="heading 1"/>
    <w:basedOn w:val="Judul2"/>
    <w:link w:val="Judul1KAR"/>
    <w:autoRedefine/>
    <w:uiPriority w:val="1"/>
    <w:qFormat/>
    <w:rsid w:val="00506818"/>
    <w:pPr>
      <w:spacing w:before="240" w:line="360" w:lineRule="auto"/>
      <w:outlineLvl w:val="0"/>
    </w:pPr>
    <w:rPr>
      <w:rFonts w:asciiTheme="majorBidi" w:hAnsiTheme="majorBidi"/>
      <w:b/>
      <w:sz w:val="24"/>
      <w:szCs w:val="32"/>
    </w:rPr>
  </w:style>
  <w:style w:type="paragraph" w:styleId="Judul2">
    <w:name w:val="heading 2"/>
    <w:basedOn w:val="Normal"/>
    <w:next w:val="Normal"/>
    <w:link w:val="Judul2KAR"/>
    <w:uiPriority w:val="9"/>
    <w:semiHidden/>
    <w:unhideWhenUsed/>
    <w:qFormat/>
    <w:rsid w:val="005068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paragraph" w:styleId="Judul7">
    <w:name w:val="heading 7"/>
    <w:basedOn w:val="Normal"/>
    <w:next w:val="Normal"/>
    <w:link w:val="Judul7KAR"/>
    <w:uiPriority w:val="9"/>
    <w:unhideWhenUsed/>
    <w:qFormat/>
    <w:rsid w:val="008B723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pPr>
      <w:keepNext/>
      <w:keepLines/>
      <w:spacing w:before="480" w:after="120"/>
    </w:pPr>
    <w:rPr>
      <w:b/>
      <w:sz w:val="72"/>
      <w:szCs w:val="72"/>
    </w:rPr>
  </w:style>
  <w:style w:type="character" w:customStyle="1" w:styleId="Judul1KAR">
    <w:name w:val="Judul 1 KAR"/>
    <w:basedOn w:val="FontParagrafDefault"/>
    <w:link w:val="Judul1"/>
    <w:uiPriority w:val="1"/>
    <w:rsid w:val="00506818"/>
    <w:rPr>
      <w:rFonts w:asciiTheme="majorBidi" w:eastAsiaTheme="majorEastAsia" w:hAnsiTheme="majorBidi" w:cstheme="majorBidi"/>
      <w:b/>
      <w:color w:val="2F5496" w:themeColor="accent1" w:themeShade="BF"/>
      <w:sz w:val="24"/>
      <w:szCs w:val="32"/>
    </w:rPr>
  </w:style>
  <w:style w:type="character" w:customStyle="1" w:styleId="Judul2KAR">
    <w:name w:val="Judul 2 KAR"/>
    <w:basedOn w:val="FontParagrafDefault"/>
    <w:link w:val="Judul2"/>
    <w:uiPriority w:val="9"/>
    <w:semiHidden/>
    <w:rsid w:val="00506818"/>
    <w:rPr>
      <w:rFonts w:asciiTheme="majorHAnsi" w:eastAsiaTheme="majorEastAsia" w:hAnsiTheme="majorHAnsi" w:cstheme="majorBidi"/>
      <w:color w:val="2F5496" w:themeColor="accent1" w:themeShade="BF"/>
      <w:sz w:val="26"/>
      <w:szCs w:val="26"/>
    </w:rPr>
  </w:style>
  <w:style w:type="paragraph" w:styleId="TeksCatatanKaki">
    <w:name w:val="footnote text"/>
    <w:aliases w:val="Char"/>
    <w:basedOn w:val="Normal"/>
    <w:link w:val="TeksCatatanKakiKAR"/>
    <w:uiPriority w:val="99"/>
    <w:rsid w:val="006215BE"/>
    <w:pPr>
      <w:spacing w:after="0" w:line="240" w:lineRule="auto"/>
    </w:pPr>
    <w:rPr>
      <w:rFonts w:ascii="Times New Roman" w:eastAsia="Times New Roman" w:hAnsi="Times New Roman" w:cs="Times New Roman"/>
      <w:sz w:val="20"/>
      <w:szCs w:val="20"/>
      <w:lang w:val="en-US"/>
    </w:rPr>
  </w:style>
  <w:style w:type="character" w:customStyle="1" w:styleId="TeksCatatanKakiKAR">
    <w:name w:val="Teks Catatan Kaki KAR"/>
    <w:aliases w:val="Char KAR"/>
    <w:basedOn w:val="FontParagrafDefault"/>
    <w:link w:val="TeksCatatanKaki"/>
    <w:uiPriority w:val="99"/>
    <w:rsid w:val="006215BE"/>
    <w:rPr>
      <w:rFonts w:ascii="Times New Roman" w:eastAsia="Times New Roman" w:hAnsi="Times New Roman" w:cs="Times New Roman"/>
      <w:sz w:val="20"/>
      <w:szCs w:val="20"/>
      <w:lang w:val="en-US"/>
    </w:rPr>
  </w:style>
  <w:style w:type="character" w:styleId="ReferensiCatatanKaki">
    <w:name w:val="footnote reference"/>
    <w:uiPriority w:val="99"/>
    <w:qFormat/>
    <w:rsid w:val="006215BE"/>
    <w:rPr>
      <w:vertAlign w:val="superscript"/>
    </w:rPr>
  </w:style>
  <w:style w:type="paragraph" w:styleId="Header">
    <w:name w:val="header"/>
    <w:basedOn w:val="Normal"/>
    <w:link w:val="HeaderKAR"/>
    <w:uiPriority w:val="99"/>
    <w:unhideWhenUsed/>
    <w:rsid w:val="006215BE"/>
    <w:pPr>
      <w:tabs>
        <w:tab w:val="center" w:pos="4153"/>
        <w:tab w:val="right" w:pos="8306"/>
      </w:tabs>
    </w:pPr>
  </w:style>
  <w:style w:type="character" w:customStyle="1" w:styleId="HeaderKAR">
    <w:name w:val="Header KAR"/>
    <w:basedOn w:val="FontParagrafDefault"/>
    <w:link w:val="Header"/>
    <w:uiPriority w:val="99"/>
    <w:rsid w:val="006215BE"/>
    <w:rPr>
      <w:rFonts w:ascii="Calibri" w:eastAsia="Calibri" w:hAnsi="Calibri" w:cs="Arial"/>
      <w:lang w:val="id-ID"/>
    </w:rPr>
  </w:style>
  <w:style w:type="paragraph" w:styleId="Footer">
    <w:name w:val="footer"/>
    <w:basedOn w:val="Normal"/>
    <w:link w:val="FooterKAR"/>
    <w:uiPriority w:val="99"/>
    <w:unhideWhenUsed/>
    <w:rsid w:val="006215BE"/>
    <w:pPr>
      <w:tabs>
        <w:tab w:val="center" w:pos="4153"/>
        <w:tab w:val="right" w:pos="8306"/>
      </w:tabs>
    </w:pPr>
  </w:style>
  <w:style w:type="character" w:customStyle="1" w:styleId="FooterKAR">
    <w:name w:val="Footer KAR"/>
    <w:basedOn w:val="FontParagrafDefault"/>
    <w:link w:val="Footer"/>
    <w:uiPriority w:val="99"/>
    <w:rsid w:val="006215BE"/>
    <w:rPr>
      <w:rFonts w:ascii="Calibri" w:eastAsia="Calibri" w:hAnsi="Calibri" w:cs="Arial"/>
      <w:lang w:val="id-ID"/>
    </w:rPr>
  </w:style>
  <w:style w:type="paragraph" w:styleId="DaftarParagraf">
    <w:name w:val="List Paragraph"/>
    <w:aliases w:val="Body of text,Body of text+1,Body of text+2,Body of text+3,List Paragraph11,List Paragraph1,Heading 31,Heading 311"/>
    <w:basedOn w:val="Normal"/>
    <w:link w:val="DaftarParagrafKAR"/>
    <w:uiPriority w:val="34"/>
    <w:qFormat/>
    <w:rsid w:val="006215BE"/>
    <w:pPr>
      <w:ind w:left="720"/>
      <w:contextualSpacing/>
    </w:pPr>
    <w:rPr>
      <w:rFonts w:cs="Times New Roman"/>
      <w:lang w:val="en-US"/>
    </w:rPr>
  </w:style>
  <w:style w:type="character" w:styleId="Hyperlink">
    <w:name w:val="Hyperlink"/>
    <w:basedOn w:val="FontParagrafDefault"/>
    <w:uiPriority w:val="99"/>
    <w:unhideWhenUsed/>
    <w:rsid w:val="006215BE"/>
    <w:rPr>
      <w:color w:val="0563C1" w:themeColor="hyperlink"/>
      <w:u w:val="single"/>
    </w:rPr>
  </w:style>
  <w:style w:type="table" w:styleId="KisiTabel">
    <w:name w:val="Table Grid"/>
    <w:basedOn w:val="TabelNormal"/>
    <w:uiPriority w:val="39"/>
    <w:rsid w:val="006215BE"/>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aliases w:val="Body of text KAR,Body of text+1 KAR,Body of text+2 KAR,Body of text+3 KAR,List Paragraph11 KAR,List Paragraph1 KAR,Heading 31 KAR,Heading 311 KAR"/>
    <w:link w:val="DaftarParagraf"/>
    <w:uiPriority w:val="34"/>
    <w:qFormat/>
    <w:locked/>
    <w:rsid w:val="006215BE"/>
    <w:rPr>
      <w:rFonts w:ascii="Calibri" w:eastAsia="Calibri" w:hAnsi="Calibri" w:cs="Times New Roman"/>
      <w:lang w:val="en-US"/>
    </w:rPr>
  </w:style>
  <w:style w:type="character" w:customStyle="1" w:styleId="SebutanYangBelumTerselesaikan1">
    <w:name w:val="Sebutan Yang Belum Terselesaikan1"/>
    <w:basedOn w:val="FontParagrafDefault"/>
    <w:uiPriority w:val="99"/>
    <w:semiHidden/>
    <w:unhideWhenUsed/>
    <w:rsid w:val="004A2C0D"/>
    <w:rPr>
      <w:color w:val="605E5C"/>
      <w:shd w:val="clear" w:color="auto" w:fill="E1DFDD"/>
    </w:rPr>
  </w:style>
  <w:style w:type="paragraph" w:styleId="TeksIsi">
    <w:name w:val="Body Text"/>
    <w:basedOn w:val="Normal"/>
    <w:link w:val="TeksIsiKAR"/>
    <w:uiPriority w:val="1"/>
    <w:qFormat/>
    <w:rsid w:val="001D1BC0"/>
    <w:pPr>
      <w:widowControl w:val="0"/>
      <w:autoSpaceDE w:val="0"/>
      <w:autoSpaceDN w:val="0"/>
      <w:spacing w:after="0" w:line="240" w:lineRule="auto"/>
      <w:ind w:left="100"/>
      <w:jc w:val="both"/>
    </w:pPr>
    <w:rPr>
      <w:rFonts w:ascii="Cambria" w:eastAsia="Cambria" w:hAnsi="Cambria" w:cs="Cambria"/>
      <w:sz w:val="24"/>
      <w:szCs w:val="24"/>
      <w:lang w:val="en-US"/>
    </w:rPr>
  </w:style>
  <w:style w:type="character" w:customStyle="1" w:styleId="TeksIsiKAR">
    <w:name w:val="Teks Isi KAR"/>
    <w:basedOn w:val="FontParagrafDefault"/>
    <w:link w:val="TeksIsi"/>
    <w:uiPriority w:val="1"/>
    <w:rsid w:val="001D1BC0"/>
    <w:rPr>
      <w:rFonts w:ascii="Cambria" w:eastAsia="Cambria" w:hAnsi="Cambria" w:cs="Cambria"/>
      <w:sz w:val="24"/>
      <w:szCs w:val="24"/>
      <w:lang w:val="en-US"/>
    </w:rPr>
  </w:style>
  <w:style w:type="paragraph" w:styleId="HTMLSudahDiformat">
    <w:name w:val="HTML Preformatted"/>
    <w:basedOn w:val="Normal"/>
    <w:link w:val="HTMLSudahDiformatKAR"/>
    <w:uiPriority w:val="99"/>
    <w:semiHidden/>
    <w:unhideWhenUsed/>
    <w:rsid w:val="001D1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SudahDiformatKAR">
    <w:name w:val="HTML Sudah Diformat KAR"/>
    <w:basedOn w:val="FontParagrafDefault"/>
    <w:link w:val="HTMLSudahDiformat"/>
    <w:uiPriority w:val="99"/>
    <w:semiHidden/>
    <w:rsid w:val="001D1BC0"/>
    <w:rPr>
      <w:rFonts w:ascii="Courier New" w:eastAsia="Times New Roman" w:hAnsi="Courier New" w:cs="Courier New"/>
      <w:sz w:val="20"/>
      <w:szCs w:val="20"/>
      <w:lang w:eastAsia="en-ID"/>
    </w:rPr>
  </w:style>
  <w:style w:type="character" w:customStyle="1" w:styleId="y2iqfc">
    <w:name w:val="y2iqfc"/>
    <w:basedOn w:val="FontParagrafDefault"/>
    <w:rsid w:val="001D1BC0"/>
  </w:style>
  <w:style w:type="paragraph" w:styleId="TidakAdaSpasi">
    <w:name w:val="No Spacing"/>
    <w:uiPriority w:val="1"/>
    <w:qFormat/>
    <w:rsid w:val="006A02BF"/>
    <w:pPr>
      <w:spacing w:after="0" w:line="240" w:lineRule="auto"/>
    </w:pPr>
    <w:rPr>
      <w:lang w:val="id-ID"/>
    </w:rPr>
  </w:style>
  <w:style w:type="character" w:styleId="ReferensiKomentar">
    <w:name w:val="annotation reference"/>
    <w:basedOn w:val="FontParagrafDefault"/>
    <w:uiPriority w:val="99"/>
    <w:semiHidden/>
    <w:unhideWhenUsed/>
    <w:rsid w:val="006A02BF"/>
    <w:rPr>
      <w:sz w:val="16"/>
      <w:szCs w:val="16"/>
    </w:rPr>
  </w:style>
  <w:style w:type="paragraph" w:styleId="TeksKomentar">
    <w:name w:val="annotation text"/>
    <w:basedOn w:val="Normal"/>
    <w:link w:val="TeksKomentarKAR"/>
    <w:uiPriority w:val="99"/>
    <w:semiHidden/>
    <w:unhideWhenUsed/>
    <w:rsid w:val="006A02BF"/>
    <w:pPr>
      <w:spacing w:line="240" w:lineRule="auto"/>
    </w:pPr>
    <w:rPr>
      <w:rFonts w:asciiTheme="minorHAnsi" w:eastAsiaTheme="minorHAnsi" w:hAnsiTheme="minorHAnsi" w:cstheme="minorBidi"/>
      <w:sz w:val="20"/>
      <w:szCs w:val="20"/>
    </w:rPr>
  </w:style>
  <w:style w:type="character" w:customStyle="1" w:styleId="TeksKomentarKAR">
    <w:name w:val="Teks Komentar KAR"/>
    <w:basedOn w:val="FontParagrafDefault"/>
    <w:link w:val="TeksKomentar"/>
    <w:uiPriority w:val="99"/>
    <w:semiHidden/>
    <w:rsid w:val="006A02BF"/>
    <w:rPr>
      <w:sz w:val="20"/>
      <w:szCs w:val="20"/>
      <w:lang w:val="id-ID"/>
    </w:rPr>
  </w:style>
  <w:style w:type="character" w:styleId="ReferensiCatatanAkhir">
    <w:name w:val="endnote reference"/>
    <w:basedOn w:val="FontParagrafDefault"/>
    <w:uiPriority w:val="99"/>
    <w:semiHidden/>
    <w:unhideWhenUsed/>
    <w:rsid w:val="00BF3DE1"/>
    <w:rPr>
      <w:vertAlign w:val="superscript"/>
    </w:rPr>
  </w:style>
  <w:style w:type="paragraph" w:styleId="Bibliografi">
    <w:name w:val="Bibliography"/>
    <w:basedOn w:val="Normal"/>
    <w:next w:val="Normal"/>
    <w:uiPriority w:val="37"/>
    <w:unhideWhenUsed/>
    <w:rsid w:val="00B02FA4"/>
  </w:style>
  <w:style w:type="character" w:customStyle="1" w:styleId="text-secondary-500">
    <w:name w:val="text-secondary-500"/>
    <w:basedOn w:val="FontParagrafDefault"/>
    <w:rsid w:val="007E48D9"/>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pPr>
      <w:spacing w:after="0" w:line="240" w:lineRule="auto"/>
    </w:p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customStyle="1" w:styleId="FootnoteText1">
    <w:name w:val="Footnote Text1"/>
    <w:basedOn w:val="Normal"/>
    <w:next w:val="TeksCatatanKaki"/>
    <w:uiPriority w:val="99"/>
    <w:unhideWhenUsed/>
    <w:rsid w:val="001A2A14"/>
    <w:pPr>
      <w:spacing w:after="0" w:line="240" w:lineRule="auto"/>
    </w:pPr>
    <w:rPr>
      <w:rFonts w:asciiTheme="minorHAnsi" w:eastAsiaTheme="minorHAnsi" w:hAnsiTheme="minorHAnsi" w:cstheme="minorBidi"/>
      <w:kern w:val="2"/>
      <w:sz w:val="20"/>
      <w:szCs w:val="20"/>
      <w:lang w:val="en-ID" w:eastAsia="en-US"/>
      <w14:ligatures w14:val="standardContextual"/>
    </w:rPr>
  </w:style>
  <w:style w:type="character" w:customStyle="1" w:styleId="tlid-translation">
    <w:name w:val="tlid-translation"/>
    <w:basedOn w:val="FontParagrafDefault"/>
    <w:rsid w:val="00676857"/>
  </w:style>
  <w:style w:type="character" w:styleId="Penekanan">
    <w:name w:val="Emphasis"/>
    <w:basedOn w:val="FontParagrafDefault"/>
    <w:uiPriority w:val="20"/>
    <w:qFormat/>
    <w:rsid w:val="00676857"/>
    <w:rPr>
      <w:i/>
      <w:iCs/>
    </w:rPr>
  </w:style>
  <w:style w:type="character" w:customStyle="1" w:styleId="relative">
    <w:name w:val="relative"/>
    <w:basedOn w:val="FontParagrafDefault"/>
    <w:rsid w:val="00676857"/>
  </w:style>
  <w:style w:type="character" w:styleId="Kuat">
    <w:name w:val="Strong"/>
    <w:basedOn w:val="FontParagrafDefault"/>
    <w:uiPriority w:val="22"/>
    <w:qFormat/>
    <w:rsid w:val="007E6646"/>
    <w:rPr>
      <w:b/>
      <w:bCs/>
    </w:rPr>
  </w:style>
  <w:style w:type="paragraph" w:styleId="NormalWeb">
    <w:name w:val="Normal (Web)"/>
    <w:basedOn w:val="Normal"/>
    <w:uiPriority w:val="99"/>
    <w:unhideWhenUsed/>
    <w:rsid w:val="00865F7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ebutanYangBelumTerselesaikan2">
    <w:name w:val="Sebutan Yang Belum Terselesaikan2"/>
    <w:basedOn w:val="FontParagrafDefault"/>
    <w:uiPriority w:val="99"/>
    <w:semiHidden/>
    <w:unhideWhenUsed/>
    <w:rsid w:val="00003B42"/>
    <w:rPr>
      <w:color w:val="605E5C"/>
      <w:shd w:val="clear" w:color="auto" w:fill="E1DFDD"/>
    </w:rPr>
  </w:style>
  <w:style w:type="character" w:styleId="SebutanYangBelumTerselesaikan">
    <w:name w:val="Unresolved Mention"/>
    <w:basedOn w:val="FontParagrafDefault"/>
    <w:uiPriority w:val="99"/>
    <w:semiHidden/>
    <w:unhideWhenUsed/>
    <w:rsid w:val="00876D00"/>
    <w:rPr>
      <w:color w:val="605E5C"/>
      <w:shd w:val="clear" w:color="auto" w:fill="E1DFDD"/>
    </w:rPr>
  </w:style>
  <w:style w:type="paragraph" w:styleId="Keterangan">
    <w:name w:val="caption"/>
    <w:basedOn w:val="Normal"/>
    <w:next w:val="Normal"/>
    <w:uiPriority w:val="35"/>
    <w:unhideWhenUsed/>
    <w:qFormat/>
    <w:rsid w:val="002914ED"/>
    <w:pPr>
      <w:spacing w:line="240" w:lineRule="auto"/>
    </w:pPr>
    <w:rPr>
      <w:rFonts w:asciiTheme="minorHAnsi" w:eastAsia="SimSun" w:hAnsiTheme="minorHAnsi" w:cstheme="minorBidi"/>
      <w:i/>
      <w:iCs/>
      <w:color w:val="44546A" w:themeColor="text2"/>
      <w:sz w:val="18"/>
      <w:szCs w:val="18"/>
      <w:lang w:val="en-ID" w:eastAsia="en-US"/>
    </w:rPr>
  </w:style>
  <w:style w:type="character" w:customStyle="1" w:styleId="citation-156">
    <w:name w:val="citation-156"/>
    <w:basedOn w:val="FontParagrafDefault"/>
    <w:rsid w:val="00A01FFD"/>
  </w:style>
  <w:style w:type="character" w:customStyle="1" w:styleId="citation-155">
    <w:name w:val="citation-155"/>
    <w:basedOn w:val="FontParagrafDefault"/>
    <w:rsid w:val="00A01FFD"/>
  </w:style>
  <w:style w:type="character" w:customStyle="1" w:styleId="citation-154">
    <w:name w:val="citation-154"/>
    <w:basedOn w:val="FontParagrafDefault"/>
    <w:rsid w:val="00A01FFD"/>
  </w:style>
  <w:style w:type="character" w:customStyle="1" w:styleId="citation-162">
    <w:name w:val="citation-162"/>
    <w:basedOn w:val="FontParagrafDefault"/>
    <w:rsid w:val="00A01FFD"/>
  </w:style>
  <w:style w:type="character" w:customStyle="1" w:styleId="citation-161">
    <w:name w:val="citation-161"/>
    <w:basedOn w:val="FontParagrafDefault"/>
    <w:rsid w:val="00A01FFD"/>
  </w:style>
  <w:style w:type="character" w:customStyle="1" w:styleId="citation-166">
    <w:name w:val="citation-166"/>
    <w:basedOn w:val="FontParagrafDefault"/>
    <w:rsid w:val="00A01FFD"/>
  </w:style>
  <w:style w:type="character" w:customStyle="1" w:styleId="citation-176">
    <w:name w:val="citation-176"/>
    <w:basedOn w:val="FontParagrafDefault"/>
    <w:rsid w:val="00A01FFD"/>
  </w:style>
  <w:style w:type="character" w:customStyle="1" w:styleId="citation-175">
    <w:name w:val="citation-175"/>
    <w:basedOn w:val="FontParagrafDefault"/>
    <w:rsid w:val="00A01FFD"/>
  </w:style>
  <w:style w:type="character" w:customStyle="1" w:styleId="citation-174">
    <w:name w:val="citation-174"/>
    <w:basedOn w:val="FontParagrafDefault"/>
    <w:rsid w:val="00A01FFD"/>
  </w:style>
  <w:style w:type="character" w:customStyle="1" w:styleId="citation-173">
    <w:name w:val="citation-173"/>
    <w:basedOn w:val="FontParagrafDefault"/>
    <w:rsid w:val="00A01FFD"/>
  </w:style>
  <w:style w:type="character" w:customStyle="1" w:styleId="citation-172">
    <w:name w:val="citation-172"/>
    <w:basedOn w:val="FontParagrafDefault"/>
    <w:rsid w:val="00A01FFD"/>
  </w:style>
  <w:style w:type="character" w:customStyle="1" w:styleId="citation-185">
    <w:name w:val="citation-185"/>
    <w:basedOn w:val="FontParagrafDefault"/>
    <w:rsid w:val="00A01FFD"/>
  </w:style>
  <w:style w:type="character" w:customStyle="1" w:styleId="citation-184">
    <w:name w:val="citation-184"/>
    <w:basedOn w:val="FontParagrafDefault"/>
    <w:rsid w:val="00A01FFD"/>
  </w:style>
  <w:style w:type="character" w:customStyle="1" w:styleId="citation-183">
    <w:name w:val="citation-183"/>
    <w:basedOn w:val="FontParagrafDefault"/>
    <w:rsid w:val="00A01FFD"/>
  </w:style>
  <w:style w:type="table" w:customStyle="1" w:styleId="KisiTabel1">
    <w:name w:val="Kisi Tabel1"/>
    <w:basedOn w:val="TabelNormal"/>
    <w:next w:val="KisiTabel"/>
    <w:uiPriority w:val="39"/>
    <w:rsid w:val="0088200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7KAR">
    <w:name w:val="Judul 7 KAR"/>
    <w:basedOn w:val="FontParagrafDefault"/>
    <w:link w:val="Judul7"/>
    <w:uiPriority w:val="9"/>
    <w:rsid w:val="008B7230"/>
    <w:rPr>
      <w:rFonts w:asciiTheme="majorHAnsi" w:eastAsiaTheme="majorEastAsia" w:hAnsiTheme="majorHAnsi" w:cstheme="majorBidi"/>
      <w:i/>
      <w:iCs/>
      <w:color w:val="404040" w:themeColor="text1" w:themeTint="BF"/>
      <w:lang w:val="id-ID"/>
    </w:rPr>
  </w:style>
  <w:style w:type="character" w:customStyle="1" w:styleId="15">
    <w:name w:val="15"/>
    <w:rsid w:val="008B7230"/>
    <w:rPr>
      <w:rFonts w:ascii="Calibri" w:hAnsi="Calibri" w:cs="Calibri" w:hint="default"/>
      <w:b/>
      <w:bCs/>
    </w:rPr>
  </w:style>
  <w:style w:type="paragraph" w:customStyle="1" w:styleId="mb-2">
    <w:name w:val="mb-2"/>
    <w:basedOn w:val="Normal"/>
    <w:rsid w:val="008B723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r-only">
    <w:name w:val="sr-only"/>
    <w:basedOn w:val="FontParagrafDefault"/>
    <w:rsid w:val="008B7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02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32488/harmoni.v19i2" TargetMode="External"/><Relationship Id="rId4" Type="http://schemas.openxmlformats.org/officeDocument/2006/relationships/styles" Target="styles.xml"/><Relationship Id="rId9" Type="http://schemas.openxmlformats.org/officeDocument/2006/relationships/hyperlink" Target="mailto:rahmajulika0406213047@uinsu.ac.id"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ejournal.iaifa.ac.id/index.php/"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gAN+YHMammREtIgGXJ2vtwU6w==">CgMxLjAyCGguZ2pkZ3hzMgloLjMwajB6bGwyCWguMWZvYjl0ZTIJaC4zem55c2g3MgloLjJldDkycDAyCGgudHlqY3d0OAByITFJWUlMX2lCTVJKck11Z0k0YnR6YUREMlFVeWhJTGRyaw==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80F37C-0693-485F-A9E1-D35B21B7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6556</Words>
  <Characters>37371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IAT IAIFA</dc:creator>
  <cp:keywords/>
  <dc:description/>
  <cp:lastModifiedBy>-</cp:lastModifiedBy>
  <cp:revision>3</cp:revision>
  <cp:lastPrinted>2025-09-03T14:36:00Z</cp:lastPrinted>
  <dcterms:created xsi:type="dcterms:W3CDTF">2025-09-07T02:55:00Z</dcterms:created>
  <dcterms:modified xsi:type="dcterms:W3CDTF">2025-09-07T03:28:00Z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0e99b403-b448-3602-8102-736f134a4be4</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http://www.zotero.org/styles/chicago-fullnote-bibliography-16th-edition</vt:lpwstr>
  </property>
  <property fmtid="{D5CDD505-2E9C-101B-9397-08002B2CF9AE}" pid="12" name="Mendeley Recent Style Name 3_1">
    <vt:lpwstr>Chicago Manual of Style 16th edition (full note)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y fmtid="{D5CDD505-2E9C-101B-9397-08002B2CF9AE}" pid="25" name="_DocHome">
    <vt:i4>748639802</vt:i4>
  </property>
</Properties>
</file>